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3144D7" w14:textId="57D1C473" w:rsidR="005975B9" w:rsidRPr="00B44278" w:rsidRDefault="00F71AC5" w:rsidP="005975B9">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8"/>
          <w:szCs w:val="28"/>
        </w:rPr>
        <w:tab/>
      </w:r>
      <w:r w:rsidR="00BD74E4" w:rsidRPr="00B44278">
        <w:rPr>
          <w:rFonts w:ascii="Times New Roman" w:eastAsia="Times New Roman" w:hAnsi="Times New Roman" w:cs="Times New Roman"/>
          <w:b/>
          <w:bCs/>
          <w:sz w:val="24"/>
          <w:szCs w:val="24"/>
        </w:rPr>
        <w:t>A MULTI-TARGET INVESTIGATION INTO THE</w:t>
      </w:r>
      <w:r w:rsidR="005975B9" w:rsidRPr="00B44278">
        <w:rPr>
          <w:rFonts w:ascii="Times New Roman" w:eastAsia="Times New Roman" w:hAnsi="Times New Roman" w:cs="Times New Roman"/>
          <w:b/>
          <w:bCs/>
          <w:sz w:val="24"/>
          <w:szCs w:val="24"/>
        </w:rPr>
        <w:t xml:space="preserve"> THERAPEUTIC MECHANISMS </w:t>
      </w:r>
      <w:r w:rsidR="00BD74E4" w:rsidRPr="00B44278">
        <w:rPr>
          <w:rFonts w:ascii="Times New Roman" w:eastAsia="Times New Roman" w:hAnsi="Times New Roman" w:cs="Times New Roman"/>
          <w:b/>
          <w:bCs/>
          <w:sz w:val="24"/>
          <w:szCs w:val="24"/>
        </w:rPr>
        <w:t xml:space="preserve">OF ACTION OF LUTEOLIN </w:t>
      </w:r>
      <w:r w:rsidR="005975B9" w:rsidRPr="00B44278">
        <w:rPr>
          <w:rFonts w:ascii="Times New Roman" w:eastAsia="Times New Roman" w:hAnsi="Times New Roman" w:cs="Times New Roman"/>
          <w:b/>
          <w:bCs/>
          <w:sz w:val="24"/>
          <w:szCs w:val="24"/>
        </w:rPr>
        <w:t>IN COLORECTAL CANCER</w:t>
      </w:r>
    </w:p>
    <w:p w14:paraId="6A2ACB0A" w14:textId="77777777" w:rsidR="005975B9" w:rsidRPr="00B44278" w:rsidRDefault="005975B9" w:rsidP="005975B9">
      <w:pPr>
        <w:spacing w:line="480" w:lineRule="auto"/>
        <w:jc w:val="center"/>
        <w:rPr>
          <w:rFonts w:ascii="Times New Roman" w:eastAsia="Times New Roman" w:hAnsi="Times New Roman" w:cs="Times New Roman"/>
          <w:b/>
          <w:bCs/>
          <w:sz w:val="24"/>
          <w:szCs w:val="24"/>
        </w:rPr>
      </w:pPr>
    </w:p>
    <w:p w14:paraId="06BC1DCC" w14:textId="77777777" w:rsidR="005975B9" w:rsidRPr="00B44278" w:rsidRDefault="005975B9" w:rsidP="005975B9">
      <w:pPr>
        <w:spacing w:line="48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t>BY</w:t>
      </w:r>
    </w:p>
    <w:p w14:paraId="79CFC272" w14:textId="04377A68" w:rsidR="005975B9" w:rsidRPr="00B44278" w:rsidRDefault="00F145BB" w:rsidP="006C0204">
      <w:pPr>
        <w:spacing w:after="0" w:line="36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t xml:space="preserve">OMIRIN, </w:t>
      </w:r>
      <w:r w:rsidR="005975B9" w:rsidRPr="00B44278">
        <w:rPr>
          <w:rFonts w:ascii="Times New Roman" w:eastAsia="Times New Roman" w:hAnsi="Times New Roman" w:cs="Times New Roman"/>
          <w:b/>
          <w:bCs/>
          <w:sz w:val="24"/>
          <w:szCs w:val="24"/>
        </w:rPr>
        <w:t xml:space="preserve">EMMANUEL SUNDAY </w:t>
      </w:r>
    </w:p>
    <w:p w14:paraId="2CDD7C5D" w14:textId="29D0EC52" w:rsidR="005975B9" w:rsidRPr="00B44278" w:rsidRDefault="005975B9" w:rsidP="006C0204">
      <w:pPr>
        <w:spacing w:after="0" w:line="36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t>MATRIC. NO.: PBM/P/24/25/0028</w:t>
      </w:r>
    </w:p>
    <w:p w14:paraId="28B93521" w14:textId="77777777" w:rsidR="00CB74C3" w:rsidRPr="00B44278" w:rsidRDefault="00CB74C3" w:rsidP="006C0204">
      <w:pPr>
        <w:spacing w:line="36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t>B. Sc. (Akungba-Akoko)</w:t>
      </w:r>
    </w:p>
    <w:p w14:paraId="47F8B3AE" w14:textId="77777777" w:rsidR="005975B9" w:rsidRPr="00B44278" w:rsidRDefault="005975B9" w:rsidP="005975B9">
      <w:pPr>
        <w:spacing w:line="480" w:lineRule="auto"/>
        <w:jc w:val="center"/>
        <w:rPr>
          <w:rFonts w:ascii="Times New Roman" w:eastAsia="Times New Roman" w:hAnsi="Times New Roman" w:cs="Times New Roman"/>
          <w:b/>
          <w:bCs/>
          <w:sz w:val="24"/>
          <w:szCs w:val="24"/>
        </w:rPr>
      </w:pPr>
    </w:p>
    <w:p w14:paraId="2B120762" w14:textId="77777777" w:rsidR="005975B9" w:rsidRPr="00B44278" w:rsidRDefault="005975B9" w:rsidP="005975B9">
      <w:pPr>
        <w:spacing w:line="48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t>A DISSERTATION SUBMITTED IN THE</w:t>
      </w:r>
    </w:p>
    <w:p w14:paraId="0D807EA8" w14:textId="656E1A89" w:rsidR="00CB74C3" w:rsidRPr="00B44278" w:rsidRDefault="005975B9" w:rsidP="005975B9">
      <w:pPr>
        <w:spacing w:line="48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t>DEPARTMENT OF BIOCHEMISTRY</w:t>
      </w:r>
    </w:p>
    <w:p w14:paraId="12F13989" w14:textId="77777777" w:rsidR="00CB74C3" w:rsidRPr="00B44278" w:rsidRDefault="005975B9" w:rsidP="005975B9">
      <w:pPr>
        <w:spacing w:line="48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t xml:space="preserve">FACULTY OF BASIC MEDICAL SCIENCES </w:t>
      </w:r>
    </w:p>
    <w:p w14:paraId="6DB20707" w14:textId="1587B9D7" w:rsidR="005975B9" w:rsidRPr="00B44278" w:rsidRDefault="005975B9" w:rsidP="005975B9">
      <w:pPr>
        <w:spacing w:line="48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t>TO THE SCHOOL OF POSTGRADUATE STUDIES</w:t>
      </w:r>
    </w:p>
    <w:p w14:paraId="61C47BDF" w14:textId="77777777" w:rsidR="005975B9" w:rsidRPr="00B44278" w:rsidRDefault="005975B9" w:rsidP="005975B9">
      <w:pPr>
        <w:spacing w:line="480" w:lineRule="auto"/>
        <w:jc w:val="center"/>
        <w:rPr>
          <w:rFonts w:ascii="Times New Roman" w:eastAsia="Times New Roman" w:hAnsi="Times New Roman" w:cs="Times New Roman"/>
          <w:b/>
          <w:bCs/>
          <w:sz w:val="24"/>
          <w:szCs w:val="24"/>
        </w:rPr>
      </w:pPr>
    </w:p>
    <w:p w14:paraId="6CAEC550" w14:textId="207FC3C8" w:rsidR="00F1690A" w:rsidRPr="00B44278" w:rsidRDefault="005975B9" w:rsidP="006C0204">
      <w:pPr>
        <w:spacing w:line="48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t>IN PARTIAL FULFILMENT OF THE REQUIREMENT</w:t>
      </w:r>
      <w:r w:rsidR="00BD74E4" w:rsidRPr="00B44278">
        <w:rPr>
          <w:rFonts w:ascii="Times New Roman" w:eastAsia="Times New Roman" w:hAnsi="Times New Roman" w:cs="Times New Roman"/>
          <w:b/>
          <w:bCs/>
          <w:sz w:val="24"/>
          <w:szCs w:val="24"/>
        </w:rPr>
        <w:t>S</w:t>
      </w:r>
      <w:r w:rsidRPr="00B44278">
        <w:rPr>
          <w:rFonts w:ascii="Times New Roman" w:eastAsia="Times New Roman" w:hAnsi="Times New Roman" w:cs="Times New Roman"/>
          <w:b/>
          <w:bCs/>
          <w:sz w:val="24"/>
          <w:szCs w:val="24"/>
        </w:rPr>
        <w:t xml:space="preserve"> FOR THE AWARD OF </w:t>
      </w:r>
      <w:r w:rsidR="00CB74C3" w:rsidRPr="00B44278">
        <w:rPr>
          <w:rFonts w:ascii="Times New Roman" w:eastAsia="Times New Roman" w:hAnsi="Times New Roman" w:cs="Times New Roman"/>
          <w:b/>
          <w:bCs/>
          <w:sz w:val="24"/>
          <w:szCs w:val="24"/>
        </w:rPr>
        <w:t>MASTER OF SCIENCE</w:t>
      </w:r>
      <w:r w:rsidRPr="00B44278">
        <w:rPr>
          <w:rFonts w:ascii="Times New Roman" w:eastAsia="Times New Roman" w:hAnsi="Times New Roman" w:cs="Times New Roman"/>
          <w:b/>
          <w:bCs/>
          <w:sz w:val="24"/>
          <w:szCs w:val="24"/>
        </w:rPr>
        <w:t xml:space="preserve"> </w:t>
      </w:r>
      <w:r w:rsidR="00F1690A" w:rsidRPr="00B44278">
        <w:rPr>
          <w:rFonts w:ascii="Times New Roman" w:eastAsia="Times New Roman" w:hAnsi="Times New Roman" w:cs="Times New Roman"/>
          <w:b/>
          <w:bCs/>
          <w:sz w:val="24"/>
          <w:szCs w:val="24"/>
        </w:rPr>
        <w:t>(</w:t>
      </w:r>
      <w:r w:rsidRPr="00B44278">
        <w:rPr>
          <w:rFonts w:ascii="Times New Roman" w:eastAsia="Times New Roman" w:hAnsi="Times New Roman" w:cs="Times New Roman"/>
          <w:b/>
          <w:bCs/>
          <w:sz w:val="24"/>
          <w:szCs w:val="24"/>
        </w:rPr>
        <w:t xml:space="preserve">M. Sc.) </w:t>
      </w:r>
      <w:r w:rsidR="00CB74C3" w:rsidRPr="00B44278">
        <w:rPr>
          <w:rFonts w:ascii="Times New Roman" w:eastAsia="Times New Roman" w:hAnsi="Times New Roman" w:cs="Times New Roman"/>
          <w:b/>
          <w:bCs/>
          <w:sz w:val="24"/>
          <w:szCs w:val="24"/>
        </w:rPr>
        <w:t xml:space="preserve">DEGREE IN BIOCHEMISTRY </w:t>
      </w:r>
      <w:r w:rsidRPr="00B44278">
        <w:rPr>
          <w:rFonts w:ascii="Times New Roman" w:eastAsia="Times New Roman" w:hAnsi="Times New Roman" w:cs="Times New Roman"/>
          <w:b/>
          <w:bCs/>
          <w:sz w:val="24"/>
          <w:szCs w:val="24"/>
        </w:rPr>
        <w:t>OF</w:t>
      </w:r>
      <w:r w:rsidR="006C0204" w:rsidRPr="00B44278">
        <w:rPr>
          <w:rFonts w:ascii="Times New Roman" w:eastAsia="Times New Roman" w:hAnsi="Times New Roman" w:cs="Times New Roman"/>
          <w:b/>
          <w:bCs/>
          <w:sz w:val="24"/>
          <w:szCs w:val="24"/>
        </w:rPr>
        <w:t xml:space="preserve"> </w:t>
      </w:r>
    </w:p>
    <w:p w14:paraId="241D6F89" w14:textId="7E714EE5" w:rsidR="00CB74C3" w:rsidRPr="00B44278" w:rsidRDefault="005975B9" w:rsidP="006C0204">
      <w:pPr>
        <w:spacing w:line="48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t>OLABISI ONABANJO UNIVERSITY</w:t>
      </w:r>
    </w:p>
    <w:p w14:paraId="7169B561" w14:textId="064933E2" w:rsidR="005975B9" w:rsidRPr="00B44278" w:rsidRDefault="005975B9" w:rsidP="00C665C4">
      <w:pPr>
        <w:spacing w:line="48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t>AGO-IWOYE, NIGERIA</w:t>
      </w:r>
    </w:p>
    <w:p w14:paraId="2BD565A5" w14:textId="359AFA09" w:rsidR="001469C4" w:rsidRPr="00B44278" w:rsidRDefault="00294D93" w:rsidP="006E4455">
      <w:pPr>
        <w:spacing w:line="48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t>JULY</w:t>
      </w:r>
      <w:r w:rsidR="005975B9" w:rsidRPr="00B44278">
        <w:rPr>
          <w:rFonts w:ascii="Times New Roman" w:eastAsia="Times New Roman" w:hAnsi="Times New Roman" w:cs="Times New Roman"/>
          <w:b/>
          <w:bCs/>
          <w:sz w:val="24"/>
          <w:szCs w:val="24"/>
        </w:rPr>
        <w:t>, 2026</w:t>
      </w:r>
    </w:p>
    <w:p w14:paraId="56FB8E93" w14:textId="77777777" w:rsidR="006E4455" w:rsidRPr="00B44278" w:rsidRDefault="006E4455" w:rsidP="00D51DE4">
      <w:pPr>
        <w:spacing w:line="480" w:lineRule="auto"/>
        <w:jc w:val="center"/>
        <w:rPr>
          <w:rFonts w:ascii="Times New Roman" w:eastAsia="Times New Roman" w:hAnsi="Times New Roman" w:cs="Times New Roman"/>
          <w:b/>
          <w:bCs/>
          <w:sz w:val="24"/>
          <w:szCs w:val="24"/>
        </w:rPr>
      </w:pPr>
    </w:p>
    <w:p w14:paraId="5A145D1B" w14:textId="77777777" w:rsidR="001469C4" w:rsidRPr="00B44278" w:rsidRDefault="00802A6C" w:rsidP="00D51DE4">
      <w:pPr>
        <w:spacing w:line="48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t>ABSTRACT</w:t>
      </w:r>
    </w:p>
    <w:p w14:paraId="5A44C3ED" w14:textId="6EC49A1C" w:rsidR="001469C4" w:rsidRPr="00B44278" w:rsidRDefault="00802A6C">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lastRenderedPageBreak/>
        <w:t>Colorect</w:t>
      </w:r>
      <w:r w:rsidR="00F62B8F" w:rsidRPr="00B44278">
        <w:rPr>
          <w:rFonts w:ascii="Times New Roman" w:eastAsia="Times New Roman" w:hAnsi="Times New Roman" w:cs="Times New Roman"/>
          <w:sz w:val="24"/>
          <w:szCs w:val="24"/>
        </w:rPr>
        <w:t>al cancer (CRC) is still one of the</w:t>
      </w:r>
      <w:r w:rsidR="00BD74E4" w:rsidRPr="00B44278">
        <w:rPr>
          <w:rFonts w:ascii="Times New Roman" w:eastAsia="Times New Roman" w:hAnsi="Times New Roman" w:cs="Times New Roman"/>
          <w:sz w:val="24"/>
          <w:szCs w:val="24"/>
        </w:rPr>
        <w:t xml:space="preserve"> ma</w:t>
      </w:r>
      <w:r w:rsidR="005A019C" w:rsidRPr="00B44278">
        <w:rPr>
          <w:rFonts w:ascii="Times New Roman" w:eastAsia="Times New Roman" w:hAnsi="Times New Roman" w:cs="Times New Roman"/>
          <w:sz w:val="24"/>
          <w:szCs w:val="24"/>
        </w:rPr>
        <w:t>jor cause</w:t>
      </w:r>
      <w:r w:rsidR="00F62B8F" w:rsidRPr="00B44278">
        <w:rPr>
          <w:rFonts w:ascii="Times New Roman" w:eastAsia="Times New Roman" w:hAnsi="Times New Roman" w:cs="Times New Roman"/>
          <w:sz w:val="24"/>
          <w:szCs w:val="24"/>
        </w:rPr>
        <w:t>s of mortality, particula</w:t>
      </w:r>
      <w:r w:rsidR="005A019C" w:rsidRPr="00B44278">
        <w:rPr>
          <w:rFonts w:ascii="Times New Roman" w:eastAsia="Times New Roman" w:hAnsi="Times New Roman" w:cs="Times New Roman"/>
          <w:sz w:val="24"/>
          <w:szCs w:val="24"/>
        </w:rPr>
        <w:t>r</w:t>
      </w:r>
      <w:r w:rsidR="00BD74E4" w:rsidRPr="00B44278">
        <w:rPr>
          <w:rFonts w:ascii="Times New Roman" w:eastAsia="Times New Roman" w:hAnsi="Times New Roman" w:cs="Times New Roman"/>
          <w:sz w:val="24"/>
          <w:szCs w:val="24"/>
        </w:rPr>
        <w:t xml:space="preserve">ly in </w:t>
      </w:r>
      <w:r w:rsidR="005A019C" w:rsidRPr="00B44278">
        <w:rPr>
          <w:rFonts w:ascii="Times New Roman" w:eastAsia="Times New Roman" w:hAnsi="Times New Roman" w:cs="Times New Roman"/>
          <w:sz w:val="24"/>
          <w:szCs w:val="24"/>
        </w:rPr>
        <w:t xml:space="preserve">nations with low-to-middle </w:t>
      </w:r>
      <w:r w:rsidRPr="00B44278">
        <w:rPr>
          <w:rFonts w:ascii="Times New Roman" w:eastAsia="Times New Roman" w:hAnsi="Times New Roman" w:cs="Times New Roman"/>
          <w:sz w:val="24"/>
          <w:szCs w:val="24"/>
        </w:rPr>
        <w:t>income</w:t>
      </w:r>
      <w:r w:rsidR="00F62B8F" w:rsidRPr="00B44278">
        <w:rPr>
          <w:rFonts w:ascii="Times New Roman" w:eastAsia="Times New Roman" w:hAnsi="Times New Roman" w:cs="Times New Roman"/>
          <w:sz w:val="24"/>
          <w:szCs w:val="24"/>
        </w:rPr>
        <w:t xml:space="preserve">, </w:t>
      </w:r>
      <w:r w:rsidR="00B84B3F" w:rsidRPr="00B44278">
        <w:rPr>
          <w:rFonts w:ascii="Times New Roman" w:eastAsia="Times New Roman" w:hAnsi="Times New Roman" w:cs="Times New Roman"/>
          <w:sz w:val="24"/>
          <w:szCs w:val="24"/>
        </w:rPr>
        <w:t xml:space="preserve">due </w:t>
      </w:r>
      <w:r w:rsidR="008D0464" w:rsidRPr="00B44278">
        <w:rPr>
          <w:rFonts w:ascii="Times New Roman" w:eastAsia="Times New Roman" w:hAnsi="Times New Roman" w:cs="Times New Roman"/>
          <w:sz w:val="24"/>
          <w:szCs w:val="24"/>
        </w:rPr>
        <w:t xml:space="preserve">late diagnosis and limited access to </w:t>
      </w:r>
      <w:r w:rsidR="00B84B3F" w:rsidRPr="00B44278">
        <w:rPr>
          <w:rFonts w:ascii="Times New Roman" w:eastAsia="Times New Roman" w:hAnsi="Times New Roman" w:cs="Times New Roman"/>
          <w:sz w:val="24"/>
          <w:szCs w:val="24"/>
        </w:rPr>
        <w:t xml:space="preserve">therapeutics </w:t>
      </w:r>
      <w:r w:rsidR="00F62B8F" w:rsidRPr="00B44278">
        <w:rPr>
          <w:rFonts w:ascii="Times New Roman" w:eastAsia="Times New Roman" w:hAnsi="Times New Roman" w:cs="Times New Roman"/>
          <w:sz w:val="24"/>
          <w:szCs w:val="24"/>
        </w:rPr>
        <w:t xml:space="preserve">that are </w:t>
      </w:r>
      <w:r w:rsidR="008D0464" w:rsidRPr="00B44278">
        <w:rPr>
          <w:rFonts w:ascii="Times New Roman" w:eastAsia="Times New Roman" w:hAnsi="Times New Roman" w:cs="Times New Roman"/>
          <w:sz w:val="24"/>
          <w:szCs w:val="24"/>
        </w:rPr>
        <w:t>effective, affordable and less toxic</w:t>
      </w:r>
      <w:r w:rsidRPr="00B44278">
        <w:rPr>
          <w:rFonts w:ascii="Times New Roman" w:eastAsia="Times New Roman" w:hAnsi="Times New Roman" w:cs="Times New Roman"/>
          <w:sz w:val="24"/>
          <w:szCs w:val="24"/>
        </w:rPr>
        <w:t xml:space="preserve">. </w:t>
      </w:r>
      <w:r w:rsidR="00F62B8F" w:rsidRPr="00B44278">
        <w:rPr>
          <w:rFonts w:ascii="Times New Roman" w:eastAsia="Times New Roman" w:hAnsi="Times New Roman" w:cs="Times New Roman"/>
          <w:sz w:val="24"/>
          <w:szCs w:val="24"/>
        </w:rPr>
        <w:t>M</w:t>
      </w:r>
      <w:r w:rsidRPr="00B44278">
        <w:rPr>
          <w:rFonts w:ascii="Times New Roman" w:eastAsia="Times New Roman" w:hAnsi="Times New Roman" w:cs="Times New Roman"/>
          <w:sz w:val="24"/>
          <w:szCs w:val="24"/>
        </w:rPr>
        <w:t>ulti-target anticancer potential</w:t>
      </w:r>
      <w:r w:rsidR="00F62B8F" w:rsidRPr="00B44278">
        <w:rPr>
          <w:rFonts w:ascii="Times New Roman" w:eastAsia="Times New Roman" w:hAnsi="Times New Roman" w:cs="Times New Roman"/>
          <w:sz w:val="24"/>
          <w:szCs w:val="24"/>
        </w:rPr>
        <w:t xml:space="preserve"> of luteolin has been reported, yet </w:t>
      </w:r>
      <w:r w:rsidRPr="00B44278">
        <w:rPr>
          <w:rFonts w:ascii="Times New Roman" w:eastAsia="Times New Roman" w:hAnsi="Times New Roman" w:cs="Times New Roman"/>
          <w:sz w:val="24"/>
          <w:szCs w:val="24"/>
        </w:rPr>
        <w:t xml:space="preserve">its mechanisms in CRC </w:t>
      </w:r>
      <w:r w:rsidR="00F62B8F" w:rsidRPr="00B44278">
        <w:rPr>
          <w:rFonts w:ascii="Times New Roman" w:eastAsia="Times New Roman" w:hAnsi="Times New Roman" w:cs="Times New Roman"/>
          <w:sz w:val="24"/>
          <w:szCs w:val="24"/>
        </w:rPr>
        <w:t>are not well</w:t>
      </w:r>
      <w:r w:rsidRPr="00B44278">
        <w:rPr>
          <w:rFonts w:ascii="Times New Roman" w:eastAsia="Times New Roman" w:hAnsi="Times New Roman" w:cs="Times New Roman"/>
          <w:sz w:val="24"/>
          <w:szCs w:val="24"/>
        </w:rPr>
        <w:t xml:space="preserve"> understood because most of the </w:t>
      </w:r>
      <w:r w:rsidR="00F62B8F" w:rsidRPr="00B44278">
        <w:rPr>
          <w:rFonts w:ascii="Times New Roman" w:eastAsia="Times New Roman" w:hAnsi="Times New Roman" w:cs="Times New Roman"/>
          <w:sz w:val="24"/>
          <w:szCs w:val="24"/>
        </w:rPr>
        <w:t>studies rely on one-target or one</w:t>
      </w:r>
      <w:r w:rsidR="008D0464" w:rsidRPr="00B44278">
        <w:rPr>
          <w:rFonts w:ascii="Times New Roman" w:eastAsia="Times New Roman" w:hAnsi="Times New Roman" w:cs="Times New Roman"/>
          <w:sz w:val="24"/>
          <w:szCs w:val="24"/>
        </w:rPr>
        <w:t>-</w:t>
      </w:r>
      <w:r w:rsidRPr="00B44278">
        <w:rPr>
          <w:rFonts w:ascii="Times New Roman" w:eastAsia="Times New Roman" w:hAnsi="Times New Roman" w:cs="Times New Roman"/>
          <w:sz w:val="24"/>
          <w:szCs w:val="24"/>
        </w:rPr>
        <w:t xml:space="preserve">pathway analysis. </w:t>
      </w:r>
      <w:r w:rsidR="00B84B3F" w:rsidRPr="00B44278">
        <w:rPr>
          <w:rFonts w:ascii="Times New Roman" w:eastAsia="Times New Roman" w:hAnsi="Times New Roman" w:cs="Times New Roman"/>
          <w:sz w:val="24"/>
          <w:szCs w:val="24"/>
        </w:rPr>
        <w:t>Consequently</w:t>
      </w:r>
      <w:r w:rsidR="00F62B8F" w:rsidRPr="00B44278">
        <w:rPr>
          <w:rFonts w:ascii="Times New Roman" w:eastAsia="Times New Roman" w:hAnsi="Times New Roman" w:cs="Times New Roman"/>
          <w:sz w:val="24"/>
          <w:szCs w:val="24"/>
        </w:rPr>
        <w:t xml:space="preserve">, this study used a multipronged approach </w:t>
      </w:r>
      <w:r w:rsidR="00597878" w:rsidRPr="00B44278">
        <w:rPr>
          <w:rFonts w:ascii="Times New Roman" w:eastAsia="Times New Roman" w:hAnsi="Times New Roman" w:cs="Times New Roman"/>
          <w:sz w:val="24"/>
          <w:szCs w:val="24"/>
        </w:rPr>
        <w:t>includ</w:t>
      </w:r>
      <w:r w:rsidR="00F62B8F" w:rsidRPr="00B44278">
        <w:rPr>
          <w:rFonts w:ascii="Times New Roman" w:eastAsia="Times New Roman" w:hAnsi="Times New Roman" w:cs="Times New Roman"/>
          <w:sz w:val="24"/>
          <w:szCs w:val="24"/>
        </w:rPr>
        <w:t>ing network pharmacology</w:t>
      </w:r>
      <w:r w:rsidR="00F02AEA" w:rsidRPr="00B44278">
        <w:rPr>
          <w:rFonts w:ascii="Times New Roman" w:eastAsia="Times New Roman" w:hAnsi="Times New Roman" w:cs="Times New Roman"/>
          <w:sz w:val="24"/>
          <w:szCs w:val="24"/>
        </w:rPr>
        <w:t xml:space="preserve"> (NP), </w:t>
      </w:r>
      <w:r w:rsidR="00B84B3F" w:rsidRPr="00B44278">
        <w:rPr>
          <w:rFonts w:ascii="Times New Roman" w:eastAsia="Times New Roman" w:hAnsi="Times New Roman" w:cs="Times New Roman"/>
          <w:sz w:val="24"/>
          <w:szCs w:val="24"/>
        </w:rPr>
        <w:t xml:space="preserve">molecular </w:t>
      </w:r>
      <w:r w:rsidR="00F02AEA" w:rsidRPr="00B44278">
        <w:rPr>
          <w:rFonts w:ascii="Times New Roman" w:eastAsia="Times New Roman" w:hAnsi="Times New Roman" w:cs="Times New Roman"/>
          <w:sz w:val="24"/>
          <w:szCs w:val="24"/>
        </w:rPr>
        <w:t xml:space="preserve">docking, and </w:t>
      </w:r>
      <w:r w:rsidR="00F02AEA" w:rsidRPr="00B44278">
        <w:rPr>
          <w:rFonts w:ascii="Times New Roman" w:eastAsia="Times New Roman" w:hAnsi="Times New Roman" w:cs="Times New Roman"/>
          <w:i/>
          <w:sz w:val="24"/>
          <w:szCs w:val="24"/>
        </w:rPr>
        <w:t>In vivo</w:t>
      </w:r>
      <w:r w:rsidR="00F02AEA" w:rsidRPr="00B44278">
        <w:rPr>
          <w:rFonts w:ascii="Times New Roman" w:eastAsia="Times New Roman" w:hAnsi="Times New Roman" w:cs="Times New Roman"/>
          <w:sz w:val="24"/>
          <w:szCs w:val="24"/>
        </w:rPr>
        <w:t xml:space="preserve"> experimentation to investigate the therapeutic potential of luteolin against CRC. Targets of luteolin and CRC were retrieved from online databases with intention to identify shared interactome. Hub genes were identified from protein-protein interaction network using STRING and cytoscape.</w:t>
      </w:r>
      <w:r w:rsidR="00B84B3F" w:rsidRPr="00B44278">
        <w:rPr>
          <w:rFonts w:ascii="Times New Roman" w:eastAsia="Times New Roman" w:hAnsi="Times New Roman" w:cs="Times New Roman"/>
          <w:sz w:val="24"/>
          <w:szCs w:val="24"/>
        </w:rPr>
        <w:t xml:space="preserve">  S</w:t>
      </w:r>
      <w:r w:rsidR="00F02AEA" w:rsidRPr="00B44278">
        <w:rPr>
          <w:rFonts w:ascii="Times New Roman" w:eastAsia="Times New Roman" w:hAnsi="Times New Roman" w:cs="Times New Roman"/>
          <w:sz w:val="24"/>
          <w:szCs w:val="24"/>
        </w:rPr>
        <w:t>tability of luteolin and its targets wer</w:t>
      </w:r>
      <w:r w:rsidR="00B84B3F" w:rsidRPr="00B44278">
        <w:rPr>
          <w:rFonts w:ascii="Times New Roman" w:eastAsia="Times New Roman" w:hAnsi="Times New Roman" w:cs="Times New Roman"/>
          <w:sz w:val="24"/>
          <w:szCs w:val="24"/>
        </w:rPr>
        <w:t>e validated by docking and subs</w:t>
      </w:r>
      <w:r w:rsidR="00F02AEA" w:rsidRPr="00B44278">
        <w:rPr>
          <w:rFonts w:ascii="Times New Roman" w:eastAsia="Times New Roman" w:hAnsi="Times New Roman" w:cs="Times New Roman"/>
          <w:sz w:val="24"/>
          <w:szCs w:val="24"/>
        </w:rPr>
        <w:t xml:space="preserve">equent 100ns simulation. </w:t>
      </w:r>
      <w:r w:rsidR="00F02AEA" w:rsidRPr="00B44278">
        <w:rPr>
          <w:rFonts w:ascii="Times New Roman" w:eastAsia="Times New Roman" w:hAnsi="Times New Roman" w:cs="Times New Roman"/>
          <w:i/>
          <w:sz w:val="24"/>
          <w:szCs w:val="24"/>
        </w:rPr>
        <w:t xml:space="preserve">In vivo </w:t>
      </w:r>
      <w:r w:rsidRPr="00B44278">
        <w:rPr>
          <w:rFonts w:ascii="Times New Roman" w:eastAsia="Times New Roman" w:hAnsi="Times New Roman" w:cs="Times New Roman"/>
          <w:sz w:val="24"/>
          <w:szCs w:val="24"/>
        </w:rPr>
        <w:t xml:space="preserve">efficacy was verified in an </w:t>
      </w:r>
      <w:r w:rsidR="008D0464" w:rsidRPr="00B44278">
        <w:rPr>
          <w:rFonts w:ascii="Times New Roman" w:eastAsia="Times New Roman" w:hAnsi="Times New Roman" w:cs="Times New Roman"/>
          <w:sz w:val="24"/>
          <w:szCs w:val="24"/>
        </w:rPr>
        <w:t>azoxymethane (</w:t>
      </w:r>
      <w:r w:rsidRPr="00B44278">
        <w:rPr>
          <w:rFonts w:ascii="Times New Roman" w:eastAsia="Times New Roman" w:hAnsi="Times New Roman" w:cs="Times New Roman"/>
          <w:sz w:val="24"/>
          <w:szCs w:val="24"/>
        </w:rPr>
        <w:t>AOM</w:t>
      </w:r>
      <w:r w:rsidR="008D0464" w:rsidRPr="00B44278">
        <w:rPr>
          <w:rFonts w:ascii="Times New Roman" w:eastAsia="Times New Roman" w:hAnsi="Times New Roman" w:cs="Times New Roman"/>
          <w:sz w:val="24"/>
          <w:szCs w:val="24"/>
        </w:rPr>
        <w:t>)</w:t>
      </w:r>
      <w:r w:rsidRPr="00B44278">
        <w:rPr>
          <w:rFonts w:ascii="Times New Roman" w:eastAsia="Times New Roman" w:hAnsi="Times New Roman" w:cs="Times New Roman"/>
          <w:sz w:val="24"/>
          <w:szCs w:val="24"/>
        </w:rPr>
        <w:t>-induced Drosophila model</w:t>
      </w:r>
      <w:r w:rsidR="008D0464" w:rsidRPr="00B44278">
        <w:rPr>
          <w:rFonts w:ascii="Times New Roman" w:eastAsia="Times New Roman" w:hAnsi="Times New Roman" w:cs="Times New Roman"/>
          <w:sz w:val="24"/>
          <w:szCs w:val="24"/>
        </w:rPr>
        <w:t xml:space="preserve"> of CRC. </w:t>
      </w:r>
      <w:r w:rsidR="00F02AEA" w:rsidRPr="00B44278">
        <w:rPr>
          <w:rFonts w:ascii="Times New Roman" w:eastAsia="Times New Roman" w:hAnsi="Times New Roman" w:cs="Times New Roman"/>
          <w:sz w:val="24"/>
          <w:szCs w:val="24"/>
        </w:rPr>
        <w:t>NP identified 379 shared targets existed between luteolin and CRC</w:t>
      </w:r>
      <w:r w:rsidR="0083064E" w:rsidRPr="00B44278">
        <w:rPr>
          <w:rFonts w:ascii="Times New Roman" w:eastAsia="Times New Roman" w:hAnsi="Times New Roman" w:cs="Times New Roman"/>
          <w:sz w:val="24"/>
          <w:szCs w:val="24"/>
        </w:rPr>
        <w:t xml:space="preserve">, including hub genes like AKT1, mTOR, TP53 and BCL2. </w:t>
      </w:r>
      <w:r w:rsidR="00B84B3F" w:rsidRPr="00B44278">
        <w:rPr>
          <w:rFonts w:ascii="Times New Roman" w:hAnsi="Times New Roman" w:cs="Times New Roman"/>
          <w:sz w:val="24"/>
          <w:szCs w:val="24"/>
        </w:rPr>
        <w:t>Following</w:t>
      </w:r>
      <w:r w:rsidR="00630434" w:rsidRPr="00B44278">
        <w:rPr>
          <w:rFonts w:ascii="Times New Roman" w:hAnsi="Times New Roman" w:cs="Times New Roman"/>
          <w:sz w:val="24"/>
          <w:szCs w:val="24"/>
        </w:rPr>
        <w:t xml:space="preserve"> enrichment analysis, the main targets are those in PI3K/Akt, Wnt an</w:t>
      </w:r>
      <w:r w:rsidR="00B84B3F" w:rsidRPr="00B44278">
        <w:rPr>
          <w:rFonts w:ascii="Times New Roman" w:hAnsi="Times New Roman" w:cs="Times New Roman"/>
          <w:sz w:val="24"/>
          <w:szCs w:val="24"/>
        </w:rPr>
        <w:t>d MAPK signaling pathways. M</w:t>
      </w:r>
      <w:r w:rsidR="00630434" w:rsidRPr="00B44278">
        <w:rPr>
          <w:rFonts w:ascii="Times New Roman" w:hAnsi="Times New Roman" w:cs="Times New Roman"/>
          <w:sz w:val="24"/>
          <w:szCs w:val="24"/>
        </w:rPr>
        <w:t>olecular docking predicted high binding energies - caspase-3 (-9.761 kcal/mol), AKT1 (-8.613 kcal/mol) and mTOR (-7.92 kcal/</w:t>
      </w:r>
      <w:r w:rsidR="00B84B3F" w:rsidRPr="00B44278">
        <w:rPr>
          <w:rFonts w:ascii="Times New Roman" w:hAnsi="Times New Roman" w:cs="Times New Roman"/>
          <w:sz w:val="24"/>
          <w:szCs w:val="24"/>
        </w:rPr>
        <w:t>mol). C</w:t>
      </w:r>
      <w:r w:rsidR="00630434" w:rsidRPr="00B44278">
        <w:rPr>
          <w:rFonts w:ascii="Times New Roman" w:hAnsi="Times New Roman" w:cs="Times New Roman"/>
          <w:sz w:val="24"/>
          <w:szCs w:val="24"/>
        </w:rPr>
        <w:t xml:space="preserve">omplexes were predicted to be favourable using MMGBSA, the major complex being predicted for AKT1 (-54.22 kcal/mol). MD simulations (100ns) demonstrated high structural integrity as the mean RMSD of the caspase-3 complex with luteolin was 1.8 Å and the variation of residues was small. </w:t>
      </w:r>
      <w:r w:rsidR="00630434" w:rsidRPr="00B44278">
        <w:rPr>
          <w:rFonts w:ascii="Times New Roman" w:hAnsi="Times New Roman" w:cs="Times New Roman"/>
          <w:i/>
          <w:sz w:val="24"/>
          <w:szCs w:val="24"/>
        </w:rPr>
        <w:t>In vivo</w:t>
      </w:r>
      <w:r w:rsidR="00630434" w:rsidRPr="00B44278">
        <w:rPr>
          <w:rFonts w:ascii="Times New Roman" w:hAnsi="Times New Roman" w:cs="Times New Roman"/>
          <w:sz w:val="24"/>
          <w:szCs w:val="24"/>
        </w:rPr>
        <w:t xml:space="preserve"> data revealed luteolin significantly reduced tumour burden in all the groups supplemented with the diet compared to the AOM-only groups, achieving an exceptional result</w:t>
      </w:r>
      <w:r w:rsidRPr="00B44278">
        <w:rPr>
          <w:rFonts w:ascii="Times New Roman" w:eastAsia="Times New Roman" w:hAnsi="Times New Roman" w:cs="Times New Roman"/>
          <w:sz w:val="24"/>
          <w:szCs w:val="24"/>
        </w:rPr>
        <w:t>. End-point PCR analysis verified the predicted mechanism, as luteolin significantly</w:t>
      </w:r>
      <w:r w:rsidR="007F091D" w:rsidRPr="00B44278">
        <w:rPr>
          <w:rFonts w:ascii="Times New Roman" w:eastAsia="Times New Roman" w:hAnsi="Times New Roman" w:cs="Times New Roman"/>
          <w:sz w:val="24"/>
          <w:szCs w:val="24"/>
        </w:rPr>
        <w:t xml:space="preserve"> (p &lt; 0.05)</w:t>
      </w:r>
      <w:r w:rsidRPr="00B44278">
        <w:rPr>
          <w:rFonts w:ascii="Times New Roman" w:eastAsia="Times New Roman" w:hAnsi="Times New Roman" w:cs="Times New Roman"/>
          <w:sz w:val="24"/>
          <w:szCs w:val="24"/>
        </w:rPr>
        <w:t xml:space="preserve"> down</w:t>
      </w:r>
      <w:r w:rsidR="009848ED" w:rsidRPr="00B44278">
        <w:rPr>
          <w:rFonts w:ascii="Times New Roman" w:eastAsia="Times New Roman" w:hAnsi="Times New Roman" w:cs="Times New Roman"/>
          <w:sz w:val="24"/>
          <w:szCs w:val="24"/>
        </w:rPr>
        <w:t xml:space="preserve"> </w:t>
      </w:r>
      <w:r w:rsidRPr="00B44278">
        <w:rPr>
          <w:rFonts w:ascii="Times New Roman" w:eastAsia="Times New Roman" w:hAnsi="Times New Roman" w:cs="Times New Roman"/>
          <w:sz w:val="24"/>
          <w:szCs w:val="24"/>
        </w:rPr>
        <w:t>regulated oncogenic markers including mTOR, AKT1, c-MYC, and the anti-apoptotic BCL2. Luteolin up</w:t>
      </w:r>
      <w:r w:rsidR="009848ED" w:rsidRPr="00B44278">
        <w:rPr>
          <w:rFonts w:ascii="Times New Roman" w:eastAsia="Times New Roman" w:hAnsi="Times New Roman" w:cs="Times New Roman"/>
          <w:sz w:val="24"/>
          <w:szCs w:val="24"/>
        </w:rPr>
        <w:t xml:space="preserve"> </w:t>
      </w:r>
      <w:r w:rsidRPr="00B44278">
        <w:rPr>
          <w:rFonts w:ascii="Times New Roman" w:eastAsia="Times New Roman" w:hAnsi="Times New Roman" w:cs="Times New Roman"/>
          <w:sz w:val="24"/>
          <w:szCs w:val="24"/>
        </w:rPr>
        <w:t xml:space="preserve">regulated critical pro-apoptotic and regulatory genes, specifically TP53, CDKN1A (dap), CASP3 (drice), </w:t>
      </w:r>
      <w:r w:rsidR="007F091D" w:rsidRPr="00B44278">
        <w:rPr>
          <w:rFonts w:ascii="Times New Roman" w:eastAsia="Times New Roman" w:hAnsi="Times New Roman" w:cs="Times New Roman"/>
          <w:sz w:val="24"/>
          <w:szCs w:val="24"/>
        </w:rPr>
        <w:t>and CASP9 (dronc). L</w:t>
      </w:r>
      <w:r w:rsidRPr="00B44278">
        <w:rPr>
          <w:rFonts w:ascii="Times New Roman" w:eastAsia="Times New Roman" w:hAnsi="Times New Roman" w:cs="Times New Roman"/>
          <w:sz w:val="24"/>
          <w:szCs w:val="24"/>
        </w:rPr>
        <w:t xml:space="preserve">uteolin disrupts CRC hallmarks by simultaneously </w:t>
      </w:r>
      <w:r w:rsidRPr="00B44278">
        <w:rPr>
          <w:rFonts w:ascii="Times New Roman" w:eastAsia="Times New Roman" w:hAnsi="Times New Roman" w:cs="Times New Roman"/>
          <w:sz w:val="24"/>
          <w:szCs w:val="24"/>
        </w:rPr>
        <w:lastRenderedPageBreak/>
        <w:t>inhibiting survival signaling and triggering apoptosis through a stable, multi-target interactome. These data scientifically position luteolin as a potent, multi-target chemopreventive agent which should be further invest</w:t>
      </w:r>
      <w:r w:rsidR="009848ED" w:rsidRPr="00B44278">
        <w:rPr>
          <w:rFonts w:ascii="Times New Roman" w:eastAsia="Times New Roman" w:hAnsi="Times New Roman" w:cs="Times New Roman"/>
          <w:sz w:val="24"/>
          <w:szCs w:val="24"/>
        </w:rPr>
        <w:t>igated in a more physiologically relevant mammalian</w:t>
      </w:r>
      <w:r w:rsidRPr="00B44278">
        <w:rPr>
          <w:rFonts w:ascii="Times New Roman" w:eastAsia="Times New Roman" w:hAnsi="Times New Roman" w:cs="Times New Roman"/>
          <w:sz w:val="24"/>
          <w:szCs w:val="24"/>
        </w:rPr>
        <w:t xml:space="preserve"> model of CRC.</w:t>
      </w:r>
    </w:p>
    <w:p w14:paraId="1B1D4340" w14:textId="08BE0B94" w:rsidR="001469C4" w:rsidRPr="00B44278" w:rsidRDefault="0083064E">
      <w:pPr>
        <w:spacing w:line="480" w:lineRule="auto"/>
        <w:jc w:val="both"/>
        <w:rPr>
          <w:rFonts w:ascii="Times New Roman" w:eastAsia="Times New Roman" w:hAnsi="Times New Roman" w:cs="Times New Roman"/>
          <w:b/>
          <w:sz w:val="24"/>
          <w:szCs w:val="24"/>
        </w:rPr>
      </w:pPr>
      <w:r w:rsidRPr="00B44278">
        <w:rPr>
          <w:rFonts w:ascii="Times New Roman" w:eastAsia="Times New Roman" w:hAnsi="Times New Roman" w:cs="Times New Roman"/>
          <w:b/>
          <w:sz w:val="24"/>
          <w:szCs w:val="24"/>
        </w:rPr>
        <w:t xml:space="preserve">Word </w:t>
      </w:r>
      <w:r w:rsidR="00B84B3F" w:rsidRPr="00B44278">
        <w:rPr>
          <w:rFonts w:ascii="Times New Roman" w:eastAsia="Times New Roman" w:hAnsi="Times New Roman" w:cs="Times New Roman"/>
          <w:b/>
          <w:sz w:val="24"/>
          <w:szCs w:val="24"/>
        </w:rPr>
        <w:t>Count: 347</w:t>
      </w:r>
      <w:r w:rsidR="00802A6C" w:rsidRPr="00B44278">
        <w:rPr>
          <w:rFonts w:ascii="Times New Roman" w:eastAsia="Times New Roman" w:hAnsi="Times New Roman" w:cs="Times New Roman"/>
          <w:b/>
          <w:sz w:val="24"/>
          <w:szCs w:val="24"/>
        </w:rPr>
        <w:t xml:space="preserve"> words</w:t>
      </w:r>
    </w:p>
    <w:p w14:paraId="4CA9B428" w14:textId="5BD01695" w:rsidR="001469C4" w:rsidRPr="00B44278" w:rsidRDefault="00802A6C" w:rsidP="00DA4DB2">
      <w:pPr>
        <w:spacing w:line="480" w:lineRule="auto"/>
        <w:ind w:left="567" w:hanging="567"/>
        <w:jc w:val="both"/>
        <w:rPr>
          <w:rFonts w:ascii="Times New Roman" w:eastAsia="Times New Roman" w:hAnsi="Times New Roman" w:cs="Times New Roman"/>
          <w:sz w:val="24"/>
          <w:szCs w:val="24"/>
        </w:rPr>
      </w:pPr>
      <w:r w:rsidRPr="00B44278">
        <w:rPr>
          <w:rFonts w:ascii="Times New Roman" w:eastAsia="Times New Roman" w:hAnsi="Times New Roman" w:cs="Times New Roman"/>
          <w:b/>
          <w:sz w:val="24"/>
          <w:szCs w:val="24"/>
        </w:rPr>
        <w:t>Key Words</w:t>
      </w:r>
      <w:r w:rsidRPr="00B44278">
        <w:rPr>
          <w:rFonts w:ascii="Times New Roman" w:eastAsia="Times New Roman" w:hAnsi="Times New Roman" w:cs="Times New Roman"/>
          <w:sz w:val="24"/>
          <w:szCs w:val="24"/>
        </w:rPr>
        <w:t xml:space="preserve">: Colorectal carcinogenesis, Luteolin, Network </w:t>
      </w:r>
      <w:r w:rsidR="00BE4448" w:rsidRPr="00B44278">
        <w:rPr>
          <w:rFonts w:ascii="Times New Roman" w:eastAsia="Times New Roman" w:hAnsi="Times New Roman" w:cs="Times New Roman"/>
          <w:sz w:val="24"/>
          <w:szCs w:val="24"/>
        </w:rPr>
        <w:t>pharmacology, PI3K/Akt pathway, Drosophila</w:t>
      </w:r>
      <w:r w:rsidRPr="00B44278">
        <w:rPr>
          <w:rFonts w:ascii="Times New Roman" w:eastAsia="Times New Roman" w:hAnsi="Times New Roman" w:cs="Times New Roman"/>
          <w:sz w:val="24"/>
          <w:szCs w:val="24"/>
        </w:rPr>
        <w:t>.</w:t>
      </w:r>
    </w:p>
    <w:p w14:paraId="25714E6E" w14:textId="77777777" w:rsidR="001469C4" w:rsidRPr="00B44278" w:rsidRDefault="001469C4">
      <w:pPr>
        <w:spacing w:line="480" w:lineRule="auto"/>
        <w:jc w:val="both"/>
        <w:rPr>
          <w:rFonts w:ascii="Times New Roman" w:eastAsia="Times New Roman" w:hAnsi="Times New Roman" w:cs="Times New Roman"/>
          <w:sz w:val="24"/>
          <w:szCs w:val="24"/>
        </w:rPr>
      </w:pPr>
    </w:p>
    <w:p w14:paraId="06DA9B05" w14:textId="77777777" w:rsidR="001469C4" w:rsidRPr="00B44278" w:rsidRDefault="00802A6C">
      <w:pPr>
        <w:spacing w:line="48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t> </w:t>
      </w:r>
    </w:p>
    <w:p w14:paraId="0B79C61E" w14:textId="77777777" w:rsidR="001469C4" w:rsidRPr="00B44278" w:rsidRDefault="00802A6C">
      <w:pPr>
        <w:spacing w:line="480" w:lineRule="auto"/>
        <w:rPr>
          <w:rFonts w:ascii="Times New Roman" w:eastAsia="Times New Roman" w:hAnsi="Times New Roman" w:cs="Times New Roman"/>
          <w:b/>
          <w:bCs/>
          <w:sz w:val="24"/>
          <w:szCs w:val="24"/>
        </w:rPr>
      </w:pPr>
      <w:r w:rsidRPr="00B44278">
        <w:rPr>
          <w:sz w:val="24"/>
          <w:szCs w:val="24"/>
        </w:rPr>
        <w:br w:type="page"/>
      </w:r>
    </w:p>
    <w:p w14:paraId="59B22252" w14:textId="77777777" w:rsidR="001469C4" w:rsidRPr="00B44278" w:rsidRDefault="00802A6C">
      <w:pPr>
        <w:spacing w:line="48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lastRenderedPageBreak/>
        <w:t>CERTIFICATION</w:t>
      </w:r>
    </w:p>
    <w:p w14:paraId="21DB9130" w14:textId="1EA26A1E" w:rsidR="001469C4" w:rsidRPr="00B44278" w:rsidRDefault="002D24C8">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I </w:t>
      </w:r>
      <w:r w:rsidR="00802A6C" w:rsidRPr="00B44278">
        <w:rPr>
          <w:rFonts w:ascii="Times New Roman" w:eastAsia="Times New Roman" w:hAnsi="Times New Roman" w:cs="Times New Roman"/>
          <w:sz w:val="24"/>
          <w:szCs w:val="24"/>
        </w:rPr>
        <w:t xml:space="preserve">certify that this study is original and was carried out by </w:t>
      </w:r>
      <w:r w:rsidR="00802A6C" w:rsidRPr="00B44278">
        <w:rPr>
          <w:rFonts w:ascii="Times New Roman" w:eastAsia="Times New Roman" w:hAnsi="Times New Roman" w:cs="Times New Roman"/>
          <w:b/>
          <w:sz w:val="24"/>
          <w:szCs w:val="24"/>
        </w:rPr>
        <w:t>EMMANUEL SUNDAY OMIRIN</w:t>
      </w:r>
      <w:r w:rsidR="00802A6C" w:rsidRPr="00B44278">
        <w:rPr>
          <w:rFonts w:ascii="Times New Roman" w:eastAsia="Times New Roman" w:hAnsi="Times New Roman" w:cs="Times New Roman"/>
          <w:sz w:val="24"/>
          <w:szCs w:val="24"/>
        </w:rPr>
        <w:t xml:space="preserve"> (</w:t>
      </w:r>
      <w:r w:rsidR="00802A6C" w:rsidRPr="00B44278">
        <w:rPr>
          <w:rFonts w:ascii="Times New Roman" w:eastAsia="Times New Roman" w:hAnsi="Times New Roman" w:cs="Times New Roman"/>
          <w:b/>
          <w:bCs/>
          <w:sz w:val="24"/>
          <w:szCs w:val="24"/>
        </w:rPr>
        <w:t>Matric. No. PBM/P/24/25/0028</w:t>
      </w:r>
      <w:r w:rsidR="00802A6C" w:rsidRPr="00B44278">
        <w:rPr>
          <w:rFonts w:ascii="Times New Roman" w:eastAsia="Times New Roman" w:hAnsi="Times New Roman" w:cs="Times New Roman"/>
          <w:sz w:val="24"/>
          <w:szCs w:val="24"/>
        </w:rPr>
        <w:t xml:space="preserve">) </w:t>
      </w:r>
      <w:r w:rsidRPr="00B44278">
        <w:rPr>
          <w:rFonts w:ascii="Times New Roman" w:eastAsia="Times New Roman" w:hAnsi="Times New Roman" w:cs="Times New Roman"/>
          <w:sz w:val="24"/>
          <w:szCs w:val="24"/>
        </w:rPr>
        <w:t xml:space="preserve">under my supervision and has been approved </w:t>
      </w:r>
      <w:r w:rsidR="00904F69" w:rsidRPr="00B44278">
        <w:rPr>
          <w:rFonts w:ascii="Times New Roman" w:eastAsia="Times New Roman" w:hAnsi="Times New Roman" w:cs="Times New Roman"/>
          <w:sz w:val="24"/>
          <w:szCs w:val="24"/>
        </w:rPr>
        <w:t>having met the</w:t>
      </w:r>
      <w:r w:rsidR="00802A6C" w:rsidRPr="00B44278">
        <w:rPr>
          <w:rFonts w:ascii="Times New Roman" w:eastAsia="Times New Roman" w:hAnsi="Times New Roman" w:cs="Times New Roman"/>
          <w:sz w:val="24"/>
          <w:szCs w:val="24"/>
        </w:rPr>
        <w:t xml:space="preserve"> requirements for the award of </w:t>
      </w:r>
      <w:r w:rsidR="00CB74C3" w:rsidRPr="00B44278">
        <w:rPr>
          <w:rFonts w:ascii="Times New Roman" w:eastAsia="Times New Roman" w:hAnsi="Times New Roman" w:cs="Times New Roman"/>
          <w:sz w:val="24"/>
          <w:szCs w:val="24"/>
        </w:rPr>
        <w:t xml:space="preserve">Master </w:t>
      </w:r>
      <w:r w:rsidR="00802A6C" w:rsidRPr="00B44278">
        <w:rPr>
          <w:rFonts w:ascii="Times New Roman" w:eastAsia="Times New Roman" w:hAnsi="Times New Roman" w:cs="Times New Roman"/>
          <w:sz w:val="24"/>
          <w:szCs w:val="24"/>
        </w:rPr>
        <w:t xml:space="preserve">of Science (M. Sc.) </w:t>
      </w:r>
      <w:r w:rsidR="00CB74C3" w:rsidRPr="00B44278">
        <w:rPr>
          <w:rFonts w:ascii="Times New Roman" w:eastAsia="Times New Roman" w:hAnsi="Times New Roman" w:cs="Times New Roman"/>
          <w:sz w:val="24"/>
          <w:szCs w:val="24"/>
        </w:rPr>
        <w:t xml:space="preserve">Degree </w:t>
      </w:r>
      <w:r w:rsidR="00802A6C" w:rsidRPr="00B44278">
        <w:rPr>
          <w:rFonts w:ascii="Times New Roman" w:eastAsia="Times New Roman" w:hAnsi="Times New Roman" w:cs="Times New Roman"/>
          <w:sz w:val="24"/>
          <w:szCs w:val="24"/>
        </w:rPr>
        <w:t xml:space="preserve">in </w:t>
      </w:r>
      <w:r w:rsidR="00904F69" w:rsidRPr="00B44278">
        <w:rPr>
          <w:rFonts w:ascii="Times New Roman" w:eastAsia="Times New Roman" w:hAnsi="Times New Roman" w:cs="Times New Roman"/>
          <w:sz w:val="24"/>
          <w:szCs w:val="24"/>
        </w:rPr>
        <w:t xml:space="preserve">Biochemistry from </w:t>
      </w:r>
      <w:r w:rsidR="00802A6C" w:rsidRPr="00B44278">
        <w:rPr>
          <w:rFonts w:ascii="Times New Roman" w:eastAsia="Times New Roman" w:hAnsi="Times New Roman" w:cs="Times New Roman"/>
          <w:sz w:val="24"/>
          <w:szCs w:val="24"/>
        </w:rPr>
        <w:t xml:space="preserve">the Department of Biochemistry, Faculty of Basic Medical Sciences, </w:t>
      </w:r>
      <w:r w:rsidR="00CB74C3" w:rsidRPr="00B44278">
        <w:rPr>
          <w:rFonts w:ascii="Times New Roman" w:eastAsia="Times New Roman" w:hAnsi="Times New Roman" w:cs="Times New Roman"/>
          <w:sz w:val="24"/>
          <w:szCs w:val="24"/>
        </w:rPr>
        <w:t xml:space="preserve">Olabisi Onabanjo University, Ago-Iwoye </w:t>
      </w:r>
      <w:r w:rsidR="00802A6C" w:rsidRPr="00B44278">
        <w:rPr>
          <w:rFonts w:ascii="Times New Roman" w:eastAsia="Times New Roman" w:hAnsi="Times New Roman" w:cs="Times New Roman"/>
          <w:sz w:val="24"/>
          <w:szCs w:val="24"/>
        </w:rPr>
        <w:t xml:space="preserve">under my supervision. </w:t>
      </w:r>
    </w:p>
    <w:p w14:paraId="7F5D9967" w14:textId="77777777" w:rsidR="001469C4" w:rsidRPr="00B44278" w:rsidRDefault="001469C4">
      <w:pPr>
        <w:spacing w:line="480" w:lineRule="auto"/>
        <w:rPr>
          <w:rFonts w:ascii="Times New Roman" w:eastAsia="Times New Roman" w:hAnsi="Times New Roman" w:cs="Times New Roman"/>
          <w:sz w:val="24"/>
          <w:szCs w:val="24"/>
        </w:rPr>
      </w:pPr>
    </w:p>
    <w:p w14:paraId="44D302BF" w14:textId="77777777" w:rsidR="001469C4" w:rsidRPr="00B44278" w:rsidRDefault="001469C4">
      <w:pPr>
        <w:spacing w:line="480" w:lineRule="auto"/>
        <w:rPr>
          <w:rFonts w:ascii="Times New Roman" w:eastAsia="Times New Roman" w:hAnsi="Times New Roman" w:cs="Times New Roman"/>
          <w:sz w:val="24"/>
          <w:szCs w:val="24"/>
        </w:rPr>
      </w:pPr>
    </w:p>
    <w:p w14:paraId="6E1D3CD0" w14:textId="77777777" w:rsidR="001469C4" w:rsidRPr="00B44278" w:rsidRDefault="001469C4">
      <w:pPr>
        <w:spacing w:line="480" w:lineRule="auto"/>
        <w:rPr>
          <w:rFonts w:ascii="Times New Roman" w:eastAsia="Times New Roman" w:hAnsi="Times New Roman" w:cs="Times New Roman"/>
          <w:sz w:val="24"/>
          <w:szCs w:val="24"/>
        </w:rPr>
      </w:pPr>
    </w:p>
    <w:p w14:paraId="63C06580" w14:textId="456ED6B2" w:rsidR="001469C4" w:rsidRPr="00B44278" w:rsidRDefault="00802A6C" w:rsidP="00CB74C3">
      <w:pPr>
        <w:spacing w:after="0" w:line="24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w:t>
      </w:r>
      <w:r w:rsidR="00435391" w:rsidRPr="00B44278">
        <w:rPr>
          <w:rFonts w:ascii="Times New Roman" w:eastAsia="Times New Roman" w:hAnsi="Times New Roman" w:cs="Times New Roman"/>
          <w:sz w:val="24"/>
          <w:szCs w:val="24"/>
        </w:rPr>
        <w:t xml:space="preserve">                                     …...……………………………</w:t>
      </w:r>
    </w:p>
    <w:p w14:paraId="6702D9EE" w14:textId="2E3E535C" w:rsidR="001469C4" w:rsidRPr="00B44278" w:rsidRDefault="00802A6C" w:rsidP="00435391">
      <w:pPr>
        <w:spacing w:after="0" w:line="24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Dr. Muinat Moronke ADEYANJU</w:t>
      </w:r>
      <w:r w:rsidR="00435391" w:rsidRPr="00B44278">
        <w:rPr>
          <w:rFonts w:ascii="Times New Roman" w:eastAsia="Times New Roman" w:hAnsi="Times New Roman" w:cs="Times New Roman"/>
          <w:sz w:val="24"/>
          <w:szCs w:val="24"/>
        </w:rPr>
        <w:t xml:space="preserve">                                                                           Date</w:t>
      </w:r>
    </w:p>
    <w:p w14:paraId="736F7805" w14:textId="4E649A88" w:rsidR="001469C4" w:rsidRPr="00B44278" w:rsidRDefault="00CB74C3" w:rsidP="00CB74C3">
      <w:pPr>
        <w:spacing w:after="0" w:line="24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  </w:t>
      </w:r>
      <w:r w:rsidR="00802A6C" w:rsidRPr="00B44278">
        <w:rPr>
          <w:rFonts w:ascii="Times New Roman" w:eastAsia="Times New Roman" w:hAnsi="Times New Roman" w:cs="Times New Roman"/>
          <w:sz w:val="24"/>
          <w:szCs w:val="24"/>
        </w:rPr>
        <w:t>B. Sc., M. Sc., Ph. D. (Ogun)</w:t>
      </w:r>
    </w:p>
    <w:p w14:paraId="165C3BA0" w14:textId="77777777" w:rsidR="001469C4" w:rsidRPr="00B44278" w:rsidRDefault="00802A6C">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       (SUPERVISOR)</w:t>
      </w:r>
    </w:p>
    <w:p w14:paraId="6B681A80" w14:textId="77777777" w:rsidR="001469C4" w:rsidRPr="00B44278" w:rsidRDefault="00802A6C">
      <w:pPr>
        <w:spacing w:line="48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t> </w:t>
      </w:r>
    </w:p>
    <w:p w14:paraId="13CD953E" w14:textId="77777777" w:rsidR="001469C4" w:rsidRPr="00B44278" w:rsidRDefault="00802A6C">
      <w:pPr>
        <w:spacing w:line="480" w:lineRule="auto"/>
        <w:rPr>
          <w:rFonts w:ascii="Times New Roman" w:eastAsia="Times New Roman" w:hAnsi="Times New Roman" w:cs="Times New Roman"/>
          <w:b/>
          <w:bCs/>
          <w:sz w:val="24"/>
          <w:szCs w:val="24"/>
        </w:rPr>
      </w:pPr>
      <w:r w:rsidRPr="00B44278">
        <w:rPr>
          <w:sz w:val="24"/>
          <w:szCs w:val="24"/>
        </w:rPr>
        <w:br w:type="page"/>
      </w:r>
    </w:p>
    <w:p w14:paraId="50E31F00" w14:textId="77777777" w:rsidR="001469C4" w:rsidRPr="00B44278" w:rsidRDefault="00802A6C">
      <w:pPr>
        <w:spacing w:line="48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lastRenderedPageBreak/>
        <w:t>DEDICATION</w:t>
      </w:r>
    </w:p>
    <w:p w14:paraId="342914AC" w14:textId="77777777" w:rsidR="001469C4" w:rsidRPr="00B44278" w:rsidRDefault="00802A6C">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This work is dedicated to the Almighty God, the source of life and wisdom, without whose guidance and blessings this research would not have been possible. </w:t>
      </w:r>
    </w:p>
    <w:p w14:paraId="270AE3E0" w14:textId="77777777" w:rsidR="001469C4" w:rsidRPr="00B44278" w:rsidRDefault="00802A6C">
      <w:pPr>
        <w:spacing w:line="48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t> </w:t>
      </w:r>
    </w:p>
    <w:p w14:paraId="67D4D699" w14:textId="77777777" w:rsidR="001469C4" w:rsidRPr="00B44278" w:rsidRDefault="00802A6C">
      <w:pPr>
        <w:spacing w:line="480" w:lineRule="auto"/>
        <w:rPr>
          <w:rFonts w:ascii="Times New Roman" w:eastAsia="Times New Roman" w:hAnsi="Times New Roman" w:cs="Times New Roman"/>
          <w:b/>
          <w:bCs/>
          <w:sz w:val="24"/>
          <w:szCs w:val="24"/>
        </w:rPr>
      </w:pPr>
      <w:r w:rsidRPr="00B44278">
        <w:rPr>
          <w:sz w:val="24"/>
          <w:szCs w:val="24"/>
        </w:rPr>
        <w:br w:type="page"/>
      </w:r>
    </w:p>
    <w:p w14:paraId="6B399DB2" w14:textId="04893B43" w:rsidR="001469C4" w:rsidRPr="00B44278" w:rsidRDefault="00802A6C">
      <w:pPr>
        <w:spacing w:line="48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lastRenderedPageBreak/>
        <w:t>ACKNOWLEDGEMENT</w:t>
      </w:r>
      <w:r w:rsidR="00CB74C3" w:rsidRPr="00B44278">
        <w:rPr>
          <w:rFonts w:ascii="Times New Roman" w:eastAsia="Times New Roman" w:hAnsi="Times New Roman" w:cs="Times New Roman"/>
          <w:b/>
          <w:bCs/>
          <w:sz w:val="24"/>
          <w:szCs w:val="24"/>
        </w:rPr>
        <w:t>S</w:t>
      </w:r>
    </w:p>
    <w:p w14:paraId="1C63A802" w14:textId="516D238C" w:rsidR="001469C4" w:rsidRPr="00B44278" w:rsidRDefault="00802A6C">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I give all glory to God almighty, the One through whom this project became possible. Many thanks to my supervisor, Dr. M. M. Adeyanju - she not only supervised my dissertation, she doubles as my mummy. Mummy, it is one of </w:t>
      </w:r>
      <w:r w:rsidR="006C0204" w:rsidRPr="00B44278">
        <w:rPr>
          <w:rFonts w:ascii="Times New Roman" w:eastAsia="Times New Roman" w:hAnsi="Times New Roman" w:cs="Times New Roman"/>
          <w:sz w:val="24"/>
          <w:szCs w:val="24"/>
        </w:rPr>
        <w:t xml:space="preserve">my best blessings meeting you. You and </w:t>
      </w:r>
      <w:r w:rsidRPr="00B44278">
        <w:rPr>
          <w:rFonts w:ascii="Times New Roman" w:eastAsia="Times New Roman" w:hAnsi="Times New Roman" w:cs="Times New Roman"/>
          <w:sz w:val="24"/>
          <w:szCs w:val="24"/>
        </w:rPr>
        <w:t xml:space="preserve">your kids will surely find help everywhere. </w:t>
      </w:r>
    </w:p>
    <w:p w14:paraId="36310F65" w14:textId="24B6FFB3" w:rsidR="001469C4" w:rsidRPr="00B44278" w:rsidRDefault="00802A6C">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I am deeply grateful to all my lecturers within the department of Biochemistry - Dr. E. N. Ezima (my powerful</w:t>
      </w:r>
      <w:r w:rsidR="009848ED" w:rsidRPr="00B44278">
        <w:rPr>
          <w:rFonts w:ascii="Times New Roman" w:eastAsia="Times New Roman" w:hAnsi="Times New Roman" w:cs="Times New Roman"/>
          <w:sz w:val="24"/>
          <w:szCs w:val="24"/>
        </w:rPr>
        <w:t xml:space="preserve"> HOD), Dr. B. O. Adegbesan (the </w:t>
      </w:r>
      <w:r w:rsidRPr="00B44278">
        <w:rPr>
          <w:rFonts w:ascii="Times New Roman" w:eastAsia="Times New Roman" w:hAnsi="Times New Roman" w:cs="Times New Roman"/>
          <w:sz w:val="24"/>
          <w:szCs w:val="24"/>
        </w:rPr>
        <w:t xml:space="preserve">Graduate Coordinator herself), Dr. B. S. Fagbohunka, Dr. K. T. Odufuwa, Dr. A. Akinpelu, Dr. E. Adesanya, and finally Dr. A. S. Faponle, who took the role of my personal “japa” advisor. To all of you, I say a big thanks. </w:t>
      </w:r>
    </w:p>
    <w:p w14:paraId="13287826" w14:textId="77777777" w:rsidR="001469C4" w:rsidRPr="00B44278" w:rsidRDefault="00802A6C">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I especially owe a lot to the Eureka Research Laboratory, Anatomy Department, Babcock University, under the leadership of Dr. Afees John Olanrewaju. Dr. Olanrewaju, you are appreciated now and forever. I thank you very much for all the kinds of help rendered, may God reward your children copiously. I am also grateful to Miss T. O. Afolabi (our Lab Coordinator) for her effort before, during, and after my research. I want to thanks my “niggas” in the Lab - E. A. Olugbogi, P. A. Aribisala, and O. E. Soremekun. I am also grateful to Dr. L. O. Arietarhire and Dr. J. I. Enya (both of Eureka Lab). Thank you for all you are doing. I will forever appreciate my moment with you. </w:t>
      </w:r>
    </w:p>
    <w:p w14:paraId="62F9A5D9" w14:textId="5771BF42" w:rsidR="009848ED" w:rsidRPr="00B44278" w:rsidRDefault="009848ED">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Special appreciation goes to my parents (Mr. J. A. and Mrs C. M. Omirin) for their support - financial, spiritual, and all other forms.</w:t>
      </w:r>
    </w:p>
    <w:p w14:paraId="12961735" w14:textId="77777777" w:rsidR="001469C4" w:rsidRDefault="00802A6C">
      <w:pPr>
        <w:spacing w:line="480" w:lineRule="auto"/>
        <w:jc w:val="both"/>
        <w:rPr>
          <w:rFonts w:ascii="Times New Roman" w:eastAsia="Times New Roman" w:hAnsi="Times New Roman" w:cs="Times New Roman"/>
          <w:b/>
          <w:bCs/>
          <w:sz w:val="24"/>
          <w:szCs w:val="24"/>
        </w:rPr>
      </w:pPr>
      <w:r w:rsidRPr="00B44278">
        <w:rPr>
          <w:rFonts w:ascii="Times New Roman" w:eastAsia="Times New Roman" w:hAnsi="Times New Roman" w:cs="Times New Roman"/>
          <w:sz w:val="24"/>
          <w:szCs w:val="24"/>
        </w:rPr>
        <w:t>To everyone who contributed to the success of this work, friends, mates, colleagues, and the ones I cannot mention because of space provided here, I am very grateful.</w:t>
      </w:r>
      <w:r>
        <w:rPr>
          <w:rFonts w:ascii="Times New Roman" w:eastAsia="Times New Roman" w:hAnsi="Times New Roman" w:cs="Times New Roman"/>
          <w:sz w:val="24"/>
          <w:szCs w:val="24"/>
        </w:rPr>
        <w:t xml:space="preserve"> </w:t>
      </w:r>
      <w:r>
        <w:br w:type="page"/>
      </w:r>
    </w:p>
    <w:p w14:paraId="23051815" w14:textId="77777777" w:rsidR="001469C4" w:rsidRPr="00B44278" w:rsidRDefault="00802A6C">
      <w:pPr>
        <w:spacing w:line="48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lastRenderedPageBreak/>
        <w:t>LIST OF TABLES</w:t>
      </w:r>
    </w:p>
    <w:p w14:paraId="6F76225F" w14:textId="768146EF" w:rsidR="00DC649F" w:rsidRPr="00B44278" w:rsidRDefault="00DC649F">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Tables</w:t>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t xml:space="preserve">  Pages</w:t>
      </w:r>
    </w:p>
    <w:p w14:paraId="1579B094" w14:textId="0D1FE1A1" w:rsidR="001469C4" w:rsidRPr="00B44278" w:rsidRDefault="00802A6C">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Table 3.1: Table showing list of primers used for the study</w:t>
      </w:r>
      <w:r w:rsidR="0070776B" w:rsidRPr="00B44278">
        <w:rPr>
          <w:rFonts w:ascii="Times New Roman" w:eastAsia="Times New Roman" w:hAnsi="Times New Roman" w:cs="Times New Roman"/>
          <w:sz w:val="24"/>
          <w:szCs w:val="24"/>
        </w:rPr>
        <w:tab/>
      </w:r>
      <w:r w:rsidR="0070776B" w:rsidRPr="00B44278">
        <w:rPr>
          <w:rFonts w:ascii="Times New Roman" w:eastAsia="Times New Roman" w:hAnsi="Times New Roman" w:cs="Times New Roman"/>
          <w:sz w:val="24"/>
          <w:szCs w:val="24"/>
        </w:rPr>
        <w:tab/>
      </w:r>
      <w:r w:rsidR="0070776B" w:rsidRPr="00B44278">
        <w:rPr>
          <w:rFonts w:ascii="Times New Roman" w:eastAsia="Times New Roman" w:hAnsi="Times New Roman" w:cs="Times New Roman"/>
          <w:sz w:val="24"/>
          <w:szCs w:val="24"/>
        </w:rPr>
        <w:tab/>
      </w:r>
      <w:r w:rsidR="0070776B" w:rsidRPr="00B44278">
        <w:rPr>
          <w:rFonts w:ascii="Times New Roman" w:eastAsia="Times New Roman" w:hAnsi="Times New Roman" w:cs="Times New Roman"/>
          <w:sz w:val="24"/>
          <w:szCs w:val="24"/>
        </w:rPr>
        <w:tab/>
      </w:r>
      <w:r w:rsidR="0070776B" w:rsidRPr="00B44278">
        <w:rPr>
          <w:rFonts w:ascii="Times New Roman" w:eastAsia="Times New Roman" w:hAnsi="Times New Roman" w:cs="Times New Roman"/>
          <w:sz w:val="24"/>
          <w:szCs w:val="24"/>
        </w:rPr>
        <w:tab/>
        <w:t xml:space="preserve"> </w:t>
      </w:r>
      <w:r w:rsidR="006E4455" w:rsidRPr="00B44278">
        <w:rPr>
          <w:rFonts w:ascii="Times New Roman" w:eastAsia="Times New Roman" w:hAnsi="Times New Roman" w:cs="Times New Roman"/>
          <w:sz w:val="24"/>
          <w:szCs w:val="24"/>
        </w:rPr>
        <w:t xml:space="preserve"> </w:t>
      </w:r>
      <w:r w:rsidR="00771050" w:rsidRPr="00B44278">
        <w:rPr>
          <w:rFonts w:ascii="Times New Roman" w:eastAsia="Times New Roman" w:hAnsi="Times New Roman" w:cs="Times New Roman"/>
          <w:sz w:val="24"/>
          <w:szCs w:val="24"/>
        </w:rPr>
        <w:t>34</w:t>
      </w:r>
    </w:p>
    <w:p w14:paraId="7877D429" w14:textId="6347432D" w:rsidR="001469C4" w:rsidRPr="00B44278" w:rsidRDefault="00802A6C">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Table 4.1: Summary of molecular docking and MMGBSA score</w:t>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t xml:space="preserve">  </w:t>
      </w:r>
      <w:r w:rsidR="00BC17E5" w:rsidRPr="00B44278">
        <w:rPr>
          <w:rFonts w:ascii="Times New Roman" w:eastAsia="Times New Roman" w:hAnsi="Times New Roman" w:cs="Times New Roman"/>
          <w:sz w:val="24"/>
          <w:szCs w:val="24"/>
        </w:rPr>
        <w:t>43</w:t>
      </w:r>
    </w:p>
    <w:p w14:paraId="126B79DC" w14:textId="35B35AE4" w:rsidR="00A3229A" w:rsidRPr="00B44278" w:rsidRDefault="00A3229A">
      <w:pPr>
        <w:spacing w:line="480" w:lineRule="auto"/>
        <w:rPr>
          <w:rFonts w:ascii="Times New Roman" w:eastAsia="Times New Roman" w:hAnsi="Times New Roman" w:cs="Times New Roman"/>
          <w:sz w:val="24"/>
          <w:szCs w:val="24"/>
        </w:rPr>
      </w:pPr>
      <w:r w:rsidRPr="00B44278">
        <w:rPr>
          <w:rFonts w:ascii="Times New Roman" w:hAnsi="Times New Roman" w:cs="Times New Roman"/>
          <w:sz w:val="24"/>
          <w:szCs w:val="24"/>
        </w:rPr>
        <w:t>Appendix Table A1: Composition of Corn Meal Medium Used for Drosophila Culture</w:t>
      </w:r>
      <w:r w:rsidR="006E4455" w:rsidRPr="00B44278">
        <w:rPr>
          <w:rFonts w:ascii="Times New Roman" w:hAnsi="Times New Roman" w:cs="Times New Roman"/>
          <w:sz w:val="24"/>
          <w:szCs w:val="24"/>
        </w:rPr>
        <w:tab/>
        <w:t xml:space="preserve">  </w:t>
      </w:r>
      <w:r w:rsidRPr="00B44278">
        <w:rPr>
          <w:rFonts w:ascii="Times New Roman" w:hAnsi="Times New Roman" w:cs="Times New Roman"/>
          <w:sz w:val="24"/>
          <w:szCs w:val="24"/>
        </w:rPr>
        <w:t>71</w:t>
      </w:r>
    </w:p>
    <w:p w14:paraId="24806069" w14:textId="77777777" w:rsidR="00A3229A" w:rsidRPr="00B44278" w:rsidRDefault="00A3229A">
      <w:pPr>
        <w:spacing w:line="480" w:lineRule="auto"/>
        <w:rPr>
          <w:rFonts w:ascii="Times New Roman" w:eastAsia="Times New Roman" w:hAnsi="Times New Roman" w:cs="Times New Roman"/>
          <w:sz w:val="24"/>
          <w:szCs w:val="24"/>
        </w:rPr>
      </w:pPr>
    </w:p>
    <w:p w14:paraId="28132427" w14:textId="77777777" w:rsidR="001469C4" w:rsidRPr="00B44278" w:rsidRDefault="00802A6C">
      <w:pPr>
        <w:spacing w:line="480" w:lineRule="auto"/>
        <w:rPr>
          <w:rFonts w:ascii="Times New Roman" w:eastAsia="Times New Roman" w:hAnsi="Times New Roman" w:cs="Times New Roman"/>
          <w:b/>
          <w:bCs/>
          <w:sz w:val="24"/>
          <w:szCs w:val="24"/>
        </w:rPr>
      </w:pPr>
      <w:r w:rsidRPr="00B44278">
        <w:rPr>
          <w:sz w:val="24"/>
          <w:szCs w:val="24"/>
        </w:rPr>
        <w:br w:type="page"/>
      </w:r>
    </w:p>
    <w:p w14:paraId="015EBE5E" w14:textId="77777777" w:rsidR="001469C4" w:rsidRPr="00B44278" w:rsidRDefault="00802A6C">
      <w:pPr>
        <w:spacing w:line="48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lastRenderedPageBreak/>
        <w:t>LIST OF FIGURES</w:t>
      </w:r>
    </w:p>
    <w:p w14:paraId="23F0DC23" w14:textId="3DAA1CDA" w:rsidR="006B1797" w:rsidRPr="00B44278" w:rsidRDefault="006B1797" w:rsidP="001910BD">
      <w:pPr>
        <w:spacing w:line="480" w:lineRule="auto"/>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t>Figures</w:t>
      </w:r>
      <w:r w:rsidRPr="00B44278">
        <w:rPr>
          <w:rFonts w:ascii="Times New Roman" w:eastAsia="Times New Roman" w:hAnsi="Times New Roman" w:cs="Times New Roman"/>
          <w:b/>
          <w:bCs/>
          <w:sz w:val="24"/>
          <w:szCs w:val="24"/>
        </w:rPr>
        <w:tab/>
      </w:r>
      <w:r w:rsidRPr="00B44278">
        <w:rPr>
          <w:rFonts w:ascii="Times New Roman" w:eastAsia="Times New Roman" w:hAnsi="Times New Roman" w:cs="Times New Roman"/>
          <w:b/>
          <w:bCs/>
          <w:sz w:val="24"/>
          <w:szCs w:val="24"/>
        </w:rPr>
        <w:tab/>
      </w:r>
      <w:r w:rsidRPr="00B44278">
        <w:rPr>
          <w:rFonts w:ascii="Times New Roman" w:eastAsia="Times New Roman" w:hAnsi="Times New Roman" w:cs="Times New Roman"/>
          <w:b/>
          <w:bCs/>
          <w:sz w:val="24"/>
          <w:szCs w:val="24"/>
        </w:rPr>
        <w:tab/>
      </w:r>
      <w:r w:rsidRPr="00B44278">
        <w:rPr>
          <w:rFonts w:ascii="Times New Roman" w:eastAsia="Times New Roman" w:hAnsi="Times New Roman" w:cs="Times New Roman"/>
          <w:b/>
          <w:bCs/>
          <w:sz w:val="24"/>
          <w:szCs w:val="24"/>
        </w:rPr>
        <w:tab/>
      </w:r>
      <w:r w:rsidRPr="00B44278">
        <w:rPr>
          <w:rFonts w:ascii="Times New Roman" w:eastAsia="Times New Roman" w:hAnsi="Times New Roman" w:cs="Times New Roman"/>
          <w:b/>
          <w:bCs/>
          <w:sz w:val="24"/>
          <w:szCs w:val="24"/>
        </w:rPr>
        <w:tab/>
      </w:r>
      <w:r w:rsidRPr="00B44278">
        <w:rPr>
          <w:rFonts w:ascii="Times New Roman" w:eastAsia="Times New Roman" w:hAnsi="Times New Roman" w:cs="Times New Roman"/>
          <w:b/>
          <w:bCs/>
          <w:sz w:val="24"/>
          <w:szCs w:val="24"/>
        </w:rPr>
        <w:tab/>
      </w:r>
      <w:r w:rsidRPr="00B44278">
        <w:rPr>
          <w:rFonts w:ascii="Times New Roman" w:eastAsia="Times New Roman" w:hAnsi="Times New Roman" w:cs="Times New Roman"/>
          <w:b/>
          <w:bCs/>
          <w:sz w:val="24"/>
          <w:szCs w:val="24"/>
        </w:rPr>
        <w:tab/>
      </w:r>
      <w:r w:rsidRPr="00B44278">
        <w:rPr>
          <w:rFonts w:ascii="Times New Roman" w:eastAsia="Times New Roman" w:hAnsi="Times New Roman" w:cs="Times New Roman"/>
          <w:b/>
          <w:bCs/>
          <w:sz w:val="24"/>
          <w:szCs w:val="24"/>
        </w:rPr>
        <w:tab/>
      </w:r>
      <w:r w:rsidRPr="00B44278">
        <w:rPr>
          <w:rFonts w:ascii="Times New Roman" w:eastAsia="Times New Roman" w:hAnsi="Times New Roman" w:cs="Times New Roman"/>
          <w:b/>
          <w:bCs/>
          <w:sz w:val="24"/>
          <w:szCs w:val="24"/>
        </w:rPr>
        <w:tab/>
      </w:r>
      <w:r w:rsidRPr="00B44278">
        <w:rPr>
          <w:rFonts w:ascii="Times New Roman" w:eastAsia="Times New Roman" w:hAnsi="Times New Roman" w:cs="Times New Roman"/>
          <w:b/>
          <w:bCs/>
          <w:sz w:val="24"/>
          <w:szCs w:val="24"/>
        </w:rPr>
        <w:tab/>
      </w:r>
      <w:r w:rsidR="00F1690A" w:rsidRPr="00B44278">
        <w:rPr>
          <w:rFonts w:ascii="Times New Roman" w:eastAsia="Times New Roman" w:hAnsi="Times New Roman" w:cs="Times New Roman"/>
          <w:b/>
          <w:bCs/>
          <w:sz w:val="24"/>
          <w:szCs w:val="24"/>
        </w:rPr>
        <w:t xml:space="preserve">         </w:t>
      </w:r>
      <w:r w:rsidRPr="00B44278">
        <w:rPr>
          <w:rFonts w:ascii="Times New Roman" w:eastAsia="Times New Roman" w:hAnsi="Times New Roman" w:cs="Times New Roman"/>
          <w:b/>
          <w:bCs/>
          <w:sz w:val="24"/>
          <w:szCs w:val="24"/>
        </w:rPr>
        <w:t>Pages</w:t>
      </w:r>
    </w:p>
    <w:p w14:paraId="1404BADD" w14:textId="1CB17566"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Figure 2.1: GLOBOCAN data on </w:t>
      </w:r>
      <w:r w:rsidR="00597878" w:rsidRPr="00B44278">
        <w:rPr>
          <w:rFonts w:ascii="Times New Roman" w:eastAsia="Times New Roman" w:hAnsi="Times New Roman" w:cs="Times New Roman"/>
          <w:sz w:val="24"/>
          <w:szCs w:val="24"/>
        </w:rPr>
        <w:t xml:space="preserve">CRC </w:t>
      </w:r>
      <w:r w:rsidRPr="00B44278">
        <w:rPr>
          <w:rFonts w:ascii="Times New Roman" w:eastAsia="Times New Roman" w:hAnsi="Times New Roman" w:cs="Times New Roman"/>
          <w:sz w:val="24"/>
          <w:szCs w:val="24"/>
        </w:rPr>
        <w:t>incidence and mortality</w:t>
      </w:r>
      <w:r w:rsidR="00597878" w:rsidRPr="00B44278">
        <w:rPr>
          <w:rFonts w:ascii="Times New Roman" w:eastAsia="Times New Roman" w:hAnsi="Times New Roman" w:cs="Times New Roman"/>
          <w:sz w:val="24"/>
          <w:szCs w:val="24"/>
        </w:rPr>
        <w:t xml:space="preserve">    </w:t>
      </w:r>
      <w:r w:rsidR="00597878"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10</w:t>
      </w:r>
    </w:p>
    <w:p w14:paraId="148162F1" w14:textId="5A270114" w:rsidR="001910BD" w:rsidRPr="00B44278" w:rsidRDefault="00597878"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2.2: Pathways driving</w:t>
      </w:r>
      <w:r w:rsidR="001910BD" w:rsidRPr="00B44278">
        <w:rPr>
          <w:rFonts w:ascii="Times New Roman" w:eastAsia="Times New Roman" w:hAnsi="Times New Roman" w:cs="Times New Roman"/>
          <w:sz w:val="24"/>
          <w:szCs w:val="24"/>
        </w:rPr>
        <w:t xml:space="preserve"> the development of CRC</w:t>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001910BD" w:rsidRPr="00B44278">
        <w:rPr>
          <w:rFonts w:ascii="Times New Roman" w:eastAsia="Times New Roman" w:hAnsi="Times New Roman" w:cs="Times New Roman"/>
          <w:sz w:val="24"/>
          <w:szCs w:val="24"/>
        </w:rPr>
        <w:t>13</w:t>
      </w:r>
    </w:p>
    <w:p w14:paraId="42BD62EF" w14:textId="00A7320C"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2.3: Molecular mechanisms of AOM-induced carcinogenesis</w:t>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16</w:t>
      </w:r>
    </w:p>
    <w:p w14:paraId="76894B2E" w14:textId="681B393C"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2.4: Structure of Luteolin</w:t>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21</w:t>
      </w:r>
    </w:p>
    <w:p w14:paraId="0C16142F" w14:textId="18E893E7"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3.1: Illustration of the methodological approach in current study</w:t>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28</w:t>
      </w:r>
    </w:p>
    <w:p w14:paraId="0FDF64C1" w14:textId="77777777" w:rsidR="00F1690A"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4.1: Venn illustration of overlap between luteolin and C</w:t>
      </w:r>
      <w:r w:rsidR="00BC17E5" w:rsidRPr="00B44278">
        <w:rPr>
          <w:rFonts w:ascii="Times New Roman" w:eastAsia="Times New Roman" w:hAnsi="Times New Roman" w:cs="Times New Roman"/>
          <w:sz w:val="24"/>
          <w:szCs w:val="24"/>
        </w:rPr>
        <w:t xml:space="preserve">RC-associated </w:t>
      </w:r>
    </w:p>
    <w:p w14:paraId="4610F4EA" w14:textId="2DE2FDA2" w:rsidR="001910BD" w:rsidRPr="00B44278" w:rsidRDefault="006E4455"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ab/>
        <w:t xml:space="preserve">      </w:t>
      </w:r>
      <w:r w:rsidR="00BC17E5" w:rsidRPr="00B44278">
        <w:rPr>
          <w:rFonts w:ascii="Times New Roman" w:eastAsia="Times New Roman" w:hAnsi="Times New Roman" w:cs="Times New Roman"/>
          <w:sz w:val="24"/>
          <w:szCs w:val="24"/>
        </w:rPr>
        <w:t>target genes</w:t>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BC17E5" w:rsidRPr="00B44278">
        <w:rPr>
          <w:rFonts w:ascii="Times New Roman" w:eastAsia="Times New Roman" w:hAnsi="Times New Roman" w:cs="Times New Roman"/>
          <w:sz w:val="24"/>
          <w:szCs w:val="24"/>
        </w:rPr>
        <w:t>37</w:t>
      </w:r>
    </w:p>
    <w:p w14:paraId="249746B0" w14:textId="77777777" w:rsidR="00F1690A" w:rsidRPr="00B44278" w:rsidRDefault="001910BD" w:rsidP="00F1690A">
      <w:pPr>
        <w:spacing w:after="0"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4.2: KEGG pathway map illustrating luteolin-associat</w:t>
      </w:r>
      <w:r w:rsidR="00BC17E5" w:rsidRPr="00B44278">
        <w:rPr>
          <w:rFonts w:ascii="Times New Roman" w:eastAsia="Times New Roman" w:hAnsi="Times New Roman" w:cs="Times New Roman"/>
          <w:sz w:val="24"/>
          <w:szCs w:val="24"/>
        </w:rPr>
        <w:t xml:space="preserve">ed targets involved </w:t>
      </w:r>
      <w:r w:rsidR="00F1690A" w:rsidRPr="00B44278">
        <w:rPr>
          <w:rFonts w:ascii="Times New Roman" w:eastAsia="Times New Roman" w:hAnsi="Times New Roman" w:cs="Times New Roman"/>
          <w:sz w:val="24"/>
          <w:szCs w:val="24"/>
        </w:rPr>
        <w:t xml:space="preserve"> </w:t>
      </w:r>
    </w:p>
    <w:p w14:paraId="1390846F" w14:textId="295C93B4" w:rsidR="001910BD" w:rsidRPr="00B44278" w:rsidRDefault="00F1690A" w:rsidP="00F1690A">
      <w:pPr>
        <w:spacing w:after="0"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ab/>
        <w:t xml:space="preserve">      </w:t>
      </w:r>
      <w:r w:rsidR="00BC17E5" w:rsidRPr="00B44278">
        <w:rPr>
          <w:rFonts w:ascii="Times New Roman" w:eastAsia="Times New Roman" w:hAnsi="Times New Roman" w:cs="Times New Roman"/>
          <w:sz w:val="24"/>
          <w:szCs w:val="24"/>
        </w:rPr>
        <w:t>in CRC</w:t>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t xml:space="preserve"> </w:t>
      </w:r>
      <w:r w:rsidR="00BC17E5" w:rsidRPr="00B44278">
        <w:rPr>
          <w:rFonts w:ascii="Times New Roman" w:eastAsia="Times New Roman" w:hAnsi="Times New Roman" w:cs="Times New Roman"/>
          <w:sz w:val="24"/>
          <w:szCs w:val="24"/>
        </w:rPr>
        <w:t>38</w:t>
      </w:r>
    </w:p>
    <w:p w14:paraId="5BF41635" w14:textId="77777777" w:rsidR="00F1690A" w:rsidRPr="00B44278" w:rsidRDefault="001910BD" w:rsidP="00F1690A">
      <w:pPr>
        <w:spacing w:after="0"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4.3: PPI network of overlapping luteolin-colorectal ca</w:t>
      </w:r>
      <w:r w:rsidR="00BC17E5" w:rsidRPr="00B44278">
        <w:rPr>
          <w:rFonts w:ascii="Times New Roman" w:eastAsia="Times New Roman" w:hAnsi="Times New Roman" w:cs="Times New Roman"/>
          <w:sz w:val="24"/>
          <w:szCs w:val="24"/>
        </w:rPr>
        <w:t xml:space="preserve">ncer–associated </w:t>
      </w:r>
    </w:p>
    <w:p w14:paraId="2A355E7B" w14:textId="0D06CA73" w:rsidR="001910BD" w:rsidRPr="00B44278" w:rsidRDefault="00F1690A" w:rsidP="00F1690A">
      <w:pPr>
        <w:spacing w:after="0"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ab/>
        <w:t xml:space="preserve">     </w:t>
      </w:r>
      <w:r w:rsidR="00BC17E5" w:rsidRPr="00B44278">
        <w:rPr>
          <w:rFonts w:ascii="Times New Roman" w:eastAsia="Times New Roman" w:hAnsi="Times New Roman" w:cs="Times New Roman"/>
          <w:sz w:val="24"/>
          <w:szCs w:val="24"/>
        </w:rPr>
        <w:t>hub genes</w:t>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00BC17E5" w:rsidRPr="00B44278">
        <w:rPr>
          <w:rFonts w:ascii="Times New Roman" w:eastAsia="Times New Roman" w:hAnsi="Times New Roman" w:cs="Times New Roman"/>
          <w:sz w:val="24"/>
          <w:szCs w:val="24"/>
        </w:rPr>
        <w:t>39</w:t>
      </w:r>
    </w:p>
    <w:p w14:paraId="5C766B73" w14:textId="735F4696"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w:t>
      </w:r>
      <w:r w:rsidR="00601C70" w:rsidRPr="00B44278">
        <w:rPr>
          <w:rFonts w:ascii="Times New Roman" w:eastAsia="Times New Roman" w:hAnsi="Times New Roman" w:cs="Times New Roman"/>
          <w:sz w:val="24"/>
          <w:szCs w:val="24"/>
        </w:rPr>
        <w:t>ure 4.4: Protein interaction network of overlapping genes in CRC</w:t>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BC17E5" w:rsidRPr="00B44278">
        <w:rPr>
          <w:rFonts w:ascii="Times New Roman" w:eastAsia="Times New Roman" w:hAnsi="Times New Roman" w:cs="Times New Roman"/>
          <w:sz w:val="24"/>
          <w:szCs w:val="24"/>
        </w:rPr>
        <w:t>40</w:t>
      </w:r>
    </w:p>
    <w:p w14:paraId="460501A7" w14:textId="7BD65263"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4.5: G</w:t>
      </w:r>
      <w:r w:rsidR="00601C70" w:rsidRPr="00B44278">
        <w:rPr>
          <w:rFonts w:ascii="Times New Roman" w:eastAsia="Times New Roman" w:hAnsi="Times New Roman" w:cs="Times New Roman"/>
          <w:sz w:val="24"/>
          <w:szCs w:val="24"/>
        </w:rPr>
        <w:t>ene ontology</w:t>
      </w:r>
      <w:r w:rsidRPr="00B44278">
        <w:rPr>
          <w:rFonts w:ascii="Times New Roman" w:eastAsia="Times New Roman" w:hAnsi="Times New Roman" w:cs="Times New Roman"/>
          <w:sz w:val="24"/>
          <w:szCs w:val="24"/>
        </w:rPr>
        <w:t xml:space="preserve"> enrichment analysis of </w:t>
      </w:r>
      <w:r w:rsidR="00BC17E5" w:rsidRPr="00B44278">
        <w:rPr>
          <w:rFonts w:ascii="Times New Roman" w:eastAsia="Times New Roman" w:hAnsi="Times New Roman" w:cs="Times New Roman"/>
          <w:sz w:val="24"/>
          <w:szCs w:val="24"/>
        </w:rPr>
        <w:t>overlapping luteolin–CRC</w:t>
      </w:r>
      <w:r w:rsidR="00F1690A" w:rsidRPr="00B44278">
        <w:rPr>
          <w:rFonts w:ascii="Times New Roman" w:eastAsia="Times New Roman" w:hAnsi="Times New Roman" w:cs="Times New Roman"/>
          <w:sz w:val="24"/>
          <w:szCs w:val="24"/>
        </w:rPr>
        <w:tab/>
      </w:r>
      <w:r w:rsidR="00601C70" w:rsidRPr="00B44278">
        <w:rPr>
          <w:rFonts w:ascii="Times New Roman" w:eastAsia="Times New Roman" w:hAnsi="Times New Roman" w:cs="Times New Roman"/>
          <w:sz w:val="24"/>
          <w:szCs w:val="24"/>
        </w:rPr>
        <w:tab/>
      </w:r>
      <w:r w:rsidR="00BC17E5" w:rsidRPr="00B44278">
        <w:rPr>
          <w:rFonts w:ascii="Times New Roman" w:eastAsia="Times New Roman" w:hAnsi="Times New Roman" w:cs="Times New Roman"/>
          <w:sz w:val="24"/>
          <w:szCs w:val="24"/>
        </w:rPr>
        <w:t>41</w:t>
      </w:r>
    </w:p>
    <w:p w14:paraId="491D4C91" w14:textId="768CC958"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4.6: Pathway enrichment analysis of overlapping</w:t>
      </w:r>
      <w:r w:rsidR="00BC17E5" w:rsidRPr="00B44278">
        <w:rPr>
          <w:rFonts w:ascii="Times New Roman" w:eastAsia="Times New Roman" w:hAnsi="Times New Roman" w:cs="Times New Roman"/>
          <w:sz w:val="24"/>
          <w:szCs w:val="24"/>
        </w:rPr>
        <w:t xml:space="preserve"> luteolin–CRC targets</w:t>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BC17E5" w:rsidRPr="00B44278">
        <w:rPr>
          <w:rFonts w:ascii="Times New Roman" w:eastAsia="Times New Roman" w:hAnsi="Times New Roman" w:cs="Times New Roman"/>
          <w:sz w:val="24"/>
          <w:szCs w:val="24"/>
        </w:rPr>
        <w:t>42</w:t>
      </w:r>
    </w:p>
    <w:p w14:paraId="040F3BE8" w14:textId="16F395CF"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4.7: RMSD profiles of the Caspase–luteolin comp</w:t>
      </w:r>
      <w:r w:rsidR="008F4CCB" w:rsidRPr="00B44278">
        <w:rPr>
          <w:rFonts w:ascii="Times New Roman" w:eastAsia="Times New Roman" w:hAnsi="Times New Roman" w:cs="Times New Roman"/>
          <w:sz w:val="24"/>
          <w:szCs w:val="24"/>
        </w:rPr>
        <w:t>lex during MD simulation</w:t>
      </w:r>
      <w:r w:rsidR="00F1690A" w:rsidRPr="00B44278">
        <w:rPr>
          <w:rFonts w:ascii="Times New Roman" w:eastAsia="Times New Roman" w:hAnsi="Times New Roman" w:cs="Times New Roman"/>
          <w:sz w:val="24"/>
          <w:szCs w:val="24"/>
        </w:rPr>
        <w:tab/>
      </w:r>
      <w:r w:rsidR="008F4CCB" w:rsidRPr="00B44278">
        <w:rPr>
          <w:rFonts w:ascii="Times New Roman" w:eastAsia="Times New Roman" w:hAnsi="Times New Roman" w:cs="Times New Roman"/>
          <w:sz w:val="24"/>
          <w:szCs w:val="24"/>
        </w:rPr>
        <w:t>44</w:t>
      </w:r>
    </w:p>
    <w:p w14:paraId="6B522E40" w14:textId="77777777" w:rsidR="00F1690A" w:rsidRPr="00B44278" w:rsidRDefault="001910BD" w:rsidP="00F1690A">
      <w:pPr>
        <w:spacing w:after="0"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4.8: RMSD profiles of the AKT–luteolin complex dur</w:t>
      </w:r>
      <w:r w:rsidR="008F4CCB" w:rsidRPr="00B44278">
        <w:rPr>
          <w:rFonts w:ascii="Times New Roman" w:eastAsia="Times New Roman" w:hAnsi="Times New Roman" w:cs="Times New Roman"/>
          <w:sz w:val="24"/>
          <w:szCs w:val="24"/>
        </w:rPr>
        <w:t>ing molecular MD</w:t>
      </w:r>
    </w:p>
    <w:p w14:paraId="5779F5F7" w14:textId="56F08A10" w:rsidR="001910BD" w:rsidRPr="00B44278" w:rsidRDefault="00F1690A" w:rsidP="00F1690A">
      <w:pPr>
        <w:spacing w:after="0"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ab/>
        <w:t xml:space="preserve">     </w:t>
      </w:r>
      <w:r w:rsidR="008F4CCB" w:rsidRPr="00B44278">
        <w:rPr>
          <w:rFonts w:ascii="Times New Roman" w:eastAsia="Times New Roman" w:hAnsi="Times New Roman" w:cs="Times New Roman"/>
          <w:sz w:val="24"/>
          <w:szCs w:val="24"/>
        </w:rPr>
        <w:t xml:space="preserve"> simulation</w:t>
      </w:r>
      <w:r w:rsidRPr="00B44278">
        <w:rPr>
          <w:rFonts w:ascii="Times New Roman" w:eastAsia="Times New Roman" w:hAnsi="Times New Roman" w:cs="Times New Roman"/>
          <w:sz w:val="24"/>
          <w:szCs w:val="24"/>
        </w:rPr>
        <w:t xml:space="preserve"> </w:t>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 xml:space="preserve">  </w:t>
      </w:r>
      <w:r w:rsidR="008F4CCB" w:rsidRPr="00B44278">
        <w:rPr>
          <w:rFonts w:ascii="Times New Roman" w:eastAsia="Times New Roman" w:hAnsi="Times New Roman" w:cs="Times New Roman"/>
          <w:sz w:val="24"/>
          <w:szCs w:val="24"/>
        </w:rPr>
        <w:t>45</w:t>
      </w:r>
    </w:p>
    <w:p w14:paraId="7CDDF7E4" w14:textId="138EB01E"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4.9: RMSD profiles of the mTOR–luteolin complex durin</w:t>
      </w:r>
      <w:r w:rsidR="008F4CCB" w:rsidRPr="00B44278">
        <w:rPr>
          <w:rFonts w:ascii="Times New Roman" w:eastAsia="Times New Roman" w:hAnsi="Times New Roman" w:cs="Times New Roman"/>
          <w:sz w:val="24"/>
          <w:szCs w:val="24"/>
        </w:rPr>
        <w:t>g MD simulation</w:t>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 xml:space="preserve">  </w:t>
      </w:r>
      <w:r w:rsidR="008F4CCB" w:rsidRPr="00B44278">
        <w:rPr>
          <w:rFonts w:ascii="Times New Roman" w:eastAsia="Times New Roman" w:hAnsi="Times New Roman" w:cs="Times New Roman"/>
          <w:sz w:val="24"/>
          <w:szCs w:val="24"/>
        </w:rPr>
        <w:t>46</w:t>
      </w:r>
    </w:p>
    <w:p w14:paraId="6A7BECFF" w14:textId="6407376E"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lastRenderedPageBreak/>
        <w:t>Figure 4.10: RMSF profile of Caspase-3 Cα atoms obta</w:t>
      </w:r>
      <w:r w:rsidR="008F4CCB" w:rsidRPr="00B44278">
        <w:rPr>
          <w:rFonts w:ascii="Times New Roman" w:eastAsia="Times New Roman" w:hAnsi="Times New Roman" w:cs="Times New Roman"/>
          <w:sz w:val="24"/>
          <w:szCs w:val="24"/>
        </w:rPr>
        <w:t>ined from MD simulation</w:t>
      </w:r>
      <w:r w:rsidR="00F1690A" w:rsidRPr="00B44278">
        <w:rPr>
          <w:rFonts w:ascii="Times New Roman" w:eastAsia="Times New Roman" w:hAnsi="Times New Roman" w:cs="Times New Roman"/>
          <w:sz w:val="24"/>
          <w:szCs w:val="24"/>
        </w:rPr>
        <w:tab/>
      </w:r>
      <w:r w:rsidR="00F1690A" w:rsidRPr="00B44278">
        <w:rPr>
          <w:rFonts w:ascii="Times New Roman" w:eastAsia="Times New Roman" w:hAnsi="Times New Roman" w:cs="Times New Roman"/>
          <w:sz w:val="24"/>
          <w:szCs w:val="24"/>
        </w:rPr>
        <w:tab/>
        <w:t xml:space="preserve">  </w:t>
      </w:r>
      <w:r w:rsidR="008F4CCB" w:rsidRPr="00B44278">
        <w:rPr>
          <w:rFonts w:ascii="Times New Roman" w:eastAsia="Times New Roman" w:hAnsi="Times New Roman" w:cs="Times New Roman"/>
          <w:sz w:val="24"/>
          <w:szCs w:val="24"/>
        </w:rPr>
        <w:t>47</w:t>
      </w:r>
    </w:p>
    <w:p w14:paraId="2F3FE68D" w14:textId="3672E1B6"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4.11: RMSF Plot 3O96 Cα atoms obtained from mo</w:t>
      </w:r>
      <w:r w:rsidR="008F4CCB" w:rsidRPr="00B44278">
        <w:rPr>
          <w:rFonts w:ascii="Times New Roman" w:eastAsia="Times New Roman" w:hAnsi="Times New Roman" w:cs="Times New Roman"/>
          <w:sz w:val="24"/>
          <w:szCs w:val="24"/>
        </w:rPr>
        <w:t>lecular dynamics simulation</w:t>
      </w:r>
      <w:r w:rsidR="00F1690A"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 xml:space="preserve"> </w:t>
      </w:r>
      <w:r w:rsidR="00C76B04" w:rsidRPr="00B44278">
        <w:rPr>
          <w:rFonts w:ascii="Times New Roman" w:eastAsia="Times New Roman" w:hAnsi="Times New Roman" w:cs="Times New Roman"/>
          <w:sz w:val="24"/>
          <w:szCs w:val="24"/>
        </w:rPr>
        <w:t xml:space="preserve"> </w:t>
      </w:r>
      <w:r w:rsidR="008F4CCB" w:rsidRPr="00B44278">
        <w:rPr>
          <w:rFonts w:ascii="Times New Roman" w:eastAsia="Times New Roman" w:hAnsi="Times New Roman" w:cs="Times New Roman"/>
          <w:sz w:val="24"/>
          <w:szCs w:val="24"/>
        </w:rPr>
        <w:t>48</w:t>
      </w:r>
      <w:r w:rsidRPr="00B44278">
        <w:rPr>
          <w:rFonts w:ascii="Times New Roman" w:eastAsia="Times New Roman" w:hAnsi="Times New Roman" w:cs="Times New Roman"/>
          <w:sz w:val="24"/>
          <w:szCs w:val="24"/>
        </w:rPr>
        <w:t xml:space="preserve"> </w:t>
      </w:r>
    </w:p>
    <w:p w14:paraId="417C88FD" w14:textId="5CEDB1D4"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4.12: RMSF Plot 4JSV Cα atoms obtained from mo</w:t>
      </w:r>
      <w:r w:rsidR="008F4CCB" w:rsidRPr="00B44278">
        <w:rPr>
          <w:rFonts w:ascii="Times New Roman" w:eastAsia="Times New Roman" w:hAnsi="Times New Roman" w:cs="Times New Roman"/>
          <w:sz w:val="24"/>
          <w:szCs w:val="24"/>
        </w:rPr>
        <w:t>lecular dynamics simulation</w:t>
      </w:r>
      <w:r w:rsidR="006E4455" w:rsidRPr="00B44278">
        <w:rPr>
          <w:rFonts w:ascii="Times New Roman" w:eastAsia="Times New Roman" w:hAnsi="Times New Roman" w:cs="Times New Roman"/>
          <w:sz w:val="24"/>
          <w:szCs w:val="24"/>
        </w:rPr>
        <w:tab/>
        <w:t xml:space="preserve">  </w:t>
      </w:r>
      <w:r w:rsidR="008F4CCB" w:rsidRPr="00B44278">
        <w:rPr>
          <w:rFonts w:ascii="Times New Roman" w:eastAsia="Times New Roman" w:hAnsi="Times New Roman" w:cs="Times New Roman"/>
          <w:sz w:val="24"/>
          <w:szCs w:val="24"/>
        </w:rPr>
        <w:t>49</w:t>
      </w:r>
    </w:p>
    <w:p w14:paraId="61A01C9D" w14:textId="1EBBD8D9"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Figure 4.13: Protein-ligand contact histogram </w:t>
      </w:r>
      <w:r w:rsidR="008F4CCB" w:rsidRPr="00B44278">
        <w:rPr>
          <w:rFonts w:ascii="Times New Roman" w:eastAsia="Times New Roman" w:hAnsi="Times New Roman" w:cs="Times New Roman"/>
          <w:sz w:val="24"/>
          <w:szCs w:val="24"/>
        </w:rPr>
        <w:t>2J30 (Caspase 3)</w:t>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t xml:space="preserve">  </w:t>
      </w:r>
      <w:r w:rsidR="008F4CCB" w:rsidRPr="00B44278">
        <w:rPr>
          <w:rFonts w:ascii="Times New Roman" w:eastAsia="Times New Roman" w:hAnsi="Times New Roman" w:cs="Times New Roman"/>
          <w:sz w:val="24"/>
          <w:szCs w:val="24"/>
        </w:rPr>
        <w:t>50</w:t>
      </w:r>
    </w:p>
    <w:p w14:paraId="5676908B" w14:textId="2C512FC4"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4.14: Protein-ligand contact histogr</w:t>
      </w:r>
      <w:r w:rsidR="008F4CCB" w:rsidRPr="00B44278">
        <w:rPr>
          <w:rFonts w:ascii="Times New Roman" w:eastAsia="Times New Roman" w:hAnsi="Times New Roman" w:cs="Times New Roman"/>
          <w:sz w:val="24"/>
          <w:szCs w:val="24"/>
        </w:rPr>
        <w:t>am 3O96 (AKT1)</w:t>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t xml:space="preserve">  </w:t>
      </w:r>
      <w:r w:rsidR="008F4CCB" w:rsidRPr="00B44278">
        <w:rPr>
          <w:rFonts w:ascii="Times New Roman" w:eastAsia="Times New Roman" w:hAnsi="Times New Roman" w:cs="Times New Roman"/>
          <w:sz w:val="24"/>
          <w:szCs w:val="24"/>
        </w:rPr>
        <w:t>51</w:t>
      </w:r>
    </w:p>
    <w:p w14:paraId="1D9418B6" w14:textId="0607C4D1"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4.15: Protein-ligand contact histogram 4JSV</w:t>
      </w:r>
      <w:r w:rsidR="008F4CCB" w:rsidRPr="00B44278">
        <w:rPr>
          <w:rFonts w:ascii="Times New Roman" w:eastAsia="Times New Roman" w:hAnsi="Times New Roman" w:cs="Times New Roman"/>
          <w:sz w:val="24"/>
          <w:szCs w:val="24"/>
        </w:rPr>
        <w:t xml:space="preserve"> (mTOR)</w:t>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t xml:space="preserve">  </w:t>
      </w:r>
      <w:r w:rsidR="008F4CCB" w:rsidRPr="00B44278">
        <w:rPr>
          <w:rFonts w:ascii="Times New Roman" w:eastAsia="Times New Roman" w:hAnsi="Times New Roman" w:cs="Times New Roman"/>
          <w:sz w:val="24"/>
          <w:szCs w:val="24"/>
        </w:rPr>
        <w:t>52</w:t>
      </w:r>
    </w:p>
    <w:p w14:paraId="5584CD64" w14:textId="358B42C4"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4.16: mRNA expression o</w:t>
      </w:r>
      <w:r w:rsidR="008F4CCB" w:rsidRPr="00B44278">
        <w:rPr>
          <w:rFonts w:ascii="Times New Roman" w:eastAsia="Times New Roman" w:hAnsi="Times New Roman" w:cs="Times New Roman"/>
          <w:sz w:val="24"/>
          <w:szCs w:val="24"/>
        </w:rPr>
        <w:t>f TP53</w:t>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t xml:space="preserve">  </w:t>
      </w:r>
      <w:r w:rsidR="008F4CCB" w:rsidRPr="00B44278">
        <w:rPr>
          <w:rFonts w:ascii="Times New Roman" w:eastAsia="Times New Roman" w:hAnsi="Times New Roman" w:cs="Times New Roman"/>
          <w:sz w:val="24"/>
          <w:szCs w:val="24"/>
        </w:rPr>
        <w:t>55</w:t>
      </w:r>
    </w:p>
    <w:p w14:paraId="62C855E9" w14:textId="53231EBD"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4.17: mRNA expression of</w:t>
      </w:r>
      <w:r w:rsidR="008F4CCB" w:rsidRPr="00B44278">
        <w:rPr>
          <w:rFonts w:ascii="Times New Roman" w:eastAsia="Times New Roman" w:hAnsi="Times New Roman" w:cs="Times New Roman"/>
          <w:sz w:val="24"/>
          <w:szCs w:val="24"/>
        </w:rPr>
        <w:t xml:space="preserve"> Caspase 3</w:t>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t xml:space="preserve">  </w:t>
      </w:r>
      <w:r w:rsidR="008F4CCB" w:rsidRPr="00B44278">
        <w:rPr>
          <w:rFonts w:ascii="Times New Roman" w:eastAsia="Times New Roman" w:hAnsi="Times New Roman" w:cs="Times New Roman"/>
          <w:sz w:val="24"/>
          <w:szCs w:val="24"/>
        </w:rPr>
        <w:t>56</w:t>
      </w:r>
    </w:p>
    <w:p w14:paraId="3A94AAA7" w14:textId="2EF32088"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4.18: mRNA expression of</w:t>
      </w:r>
      <w:r w:rsidR="008F4CCB" w:rsidRPr="00B44278">
        <w:rPr>
          <w:rFonts w:ascii="Times New Roman" w:eastAsia="Times New Roman" w:hAnsi="Times New Roman" w:cs="Times New Roman"/>
          <w:sz w:val="24"/>
          <w:szCs w:val="24"/>
        </w:rPr>
        <w:t xml:space="preserve"> Caspase 9</w:t>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t xml:space="preserve">  </w:t>
      </w:r>
      <w:r w:rsidR="008F4CCB" w:rsidRPr="00B44278">
        <w:rPr>
          <w:rFonts w:ascii="Times New Roman" w:eastAsia="Times New Roman" w:hAnsi="Times New Roman" w:cs="Times New Roman"/>
          <w:sz w:val="24"/>
          <w:szCs w:val="24"/>
        </w:rPr>
        <w:t>57</w:t>
      </w:r>
    </w:p>
    <w:p w14:paraId="7463AECB" w14:textId="1CF97965"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4.19: mRNA expression of c-MYC</w:t>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t xml:space="preserve">  </w:t>
      </w:r>
      <w:r w:rsidR="008F4CCB" w:rsidRPr="00B44278">
        <w:rPr>
          <w:rFonts w:ascii="Times New Roman" w:eastAsia="Times New Roman" w:hAnsi="Times New Roman" w:cs="Times New Roman"/>
          <w:sz w:val="24"/>
          <w:szCs w:val="24"/>
        </w:rPr>
        <w:t>58</w:t>
      </w:r>
    </w:p>
    <w:p w14:paraId="2F3591B1" w14:textId="4B963D61"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4.20: mRNA expression</w:t>
      </w:r>
      <w:r w:rsidR="008F4CCB" w:rsidRPr="00B44278">
        <w:rPr>
          <w:rFonts w:ascii="Times New Roman" w:eastAsia="Times New Roman" w:hAnsi="Times New Roman" w:cs="Times New Roman"/>
          <w:sz w:val="24"/>
          <w:szCs w:val="24"/>
        </w:rPr>
        <w:t xml:space="preserve"> of mTOR</w:t>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t xml:space="preserve">  </w:t>
      </w:r>
      <w:r w:rsidR="008F4CCB" w:rsidRPr="00B44278">
        <w:rPr>
          <w:rFonts w:ascii="Times New Roman" w:eastAsia="Times New Roman" w:hAnsi="Times New Roman" w:cs="Times New Roman"/>
          <w:sz w:val="24"/>
          <w:szCs w:val="24"/>
        </w:rPr>
        <w:t>59</w:t>
      </w:r>
    </w:p>
    <w:p w14:paraId="3522F52A" w14:textId="4B29B325"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4.21: mRNA expression</w:t>
      </w:r>
      <w:r w:rsidR="008F4CCB" w:rsidRPr="00B44278">
        <w:rPr>
          <w:rFonts w:ascii="Times New Roman" w:eastAsia="Times New Roman" w:hAnsi="Times New Roman" w:cs="Times New Roman"/>
          <w:sz w:val="24"/>
          <w:szCs w:val="24"/>
        </w:rPr>
        <w:t xml:space="preserve"> of CDKN1A</w:t>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t xml:space="preserve">  </w:t>
      </w:r>
      <w:r w:rsidR="008F4CCB" w:rsidRPr="00B44278">
        <w:rPr>
          <w:rFonts w:ascii="Times New Roman" w:eastAsia="Times New Roman" w:hAnsi="Times New Roman" w:cs="Times New Roman"/>
          <w:sz w:val="24"/>
          <w:szCs w:val="24"/>
        </w:rPr>
        <w:t>60</w:t>
      </w:r>
    </w:p>
    <w:p w14:paraId="19241923" w14:textId="067D8E43" w:rsidR="001910BD"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Figure 4.22: mRNA expression </w:t>
      </w:r>
      <w:r w:rsidR="008F4CCB" w:rsidRPr="00B44278">
        <w:rPr>
          <w:rFonts w:ascii="Times New Roman" w:eastAsia="Times New Roman" w:hAnsi="Times New Roman" w:cs="Times New Roman"/>
          <w:sz w:val="24"/>
          <w:szCs w:val="24"/>
        </w:rPr>
        <w:t>of BCL 2</w:t>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t xml:space="preserve">  </w:t>
      </w:r>
      <w:r w:rsidR="008F4CCB" w:rsidRPr="00B44278">
        <w:rPr>
          <w:rFonts w:ascii="Times New Roman" w:eastAsia="Times New Roman" w:hAnsi="Times New Roman" w:cs="Times New Roman"/>
          <w:sz w:val="24"/>
          <w:szCs w:val="24"/>
        </w:rPr>
        <w:t>61</w:t>
      </w:r>
    </w:p>
    <w:p w14:paraId="18E51521" w14:textId="0F20C804" w:rsidR="00112A6E" w:rsidRPr="00B44278" w:rsidRDefault="001910BD" w:rsidP="001910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Figure 4.23: mRNA expression of AKT1</w:t>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r>
      <w:r w:rsidR="006E4455" w:rsidRPr="00B44278">
        <w:rPr>
          <w:rFonts w:ascii="Times New Roman" w:eastAsia="Times New Roman" w:hAnsi="Times New Roman" w:cs="Times New Roman"/>
          <w:sz w:val="24"/>
          <w:szCs w:val="24"/>
        </w:rPr>
        <w:tab/>
        <w:t xml:space="preserve">  </w:t>
      </w:r>
      <w:r w:rsidR="008F4CCB" w:rsidRPr="00B44278">
        <w:rPr>
          <w:rFonts w:ascii="Times New Roman" w:eastAsia="Times New Roman" w:hAnsi="Times New Roman" w:cs="Times New Roman"/>
          <w:sz w:val="24"/>
          <w:szCs w:val="24"/>
        </w:rPr>
        <w:t>62</w:t>
      </w:r>
    </w:p>
    <w:p w14:paraId="32B00648" w14:textId="77777777" w:rsidR="00112A6E" w:rsidRPr="00B44278" w:rsidRDefault="00112A6E">
      <w:pPr>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br w:type="page"/>
      </w:r>
    </w:p>
    <w:p w14:paraId="6CF16A59" w14:textId="25EDD1EC" w:rsidR="001910BD" w:rsidRPr="00B44278" w:rsidRDefault="00112A6E" w:rsidP="00112A6E">
      <w:pPr>
        <w:spacing w:line="480" w:lineRule="auto"/>
        <w:jc w:val="center"/>
        <w:rPr>
          <w:rFonts w:ascii="Times New Roman" w:eastAsia="Times New Roman" w:hAnsi="Times New Roman" w:cs="Times New Roman"/>
          <w:b/>
          <w:sz w:val="24"/>
          <w:szCs w:val="24"/>
        </w:rPr>
      </w:pPr>
      <w:r w:rsidRPr="00B44278">
        <w:rPr>
          <w:rFonts w:ascii="Times New Roman" w:eastAsia="Times New Roman" w:hAnsi="Times New Roman" w:cs="Times New Roman"/>
          <w:b/>
          <w:sz w:val="24"/>
          <w:szCs w:val="24"/>
        </w:rPr>
        <w:lastRenderedPageBreak/>
        <w:t>List of Abbreviations</w:t>
      </w:r>
    </w:p>
    <w:p w14:paraId="386938C6" w14:textId="6ABFE970" w:rsidR="00112A6E" w:rsidRPr="00B44278" w:rsidRDefault="00112A6E" w:rsidP="00112A6E">
      <w:pPr>
        <w:spacing w:before="240" w:after="24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CRC:           </w:t>
      </w:r>
      <w:r w:rsidRPr="00B44278">
        <w:rPr>
          <w:rFonts w:ascii="Times New Roman" w:eastAsia="Times New Roman" w:hAnsi="Times New Roman" w:cs="Times New Roman"/>
          <w:sz w:val="24"/>
          <w:szCs w:val="24"/>
        </w:rPr>
        <w:tab/>
      </w:r>
      <w:r w:rsidR="006549C2"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Colorectal cancer</w:t>
      </w:r>
    </w:p>
    <w:p w14:paraId="37B3D920" w14:textId="5F6B63B3" w:rsidR="00112A6E" w:rsidRPr="00B44278" w:rsidRDefault="00112A6E" w:rsidP="00112A6E">
      <w:pPr>
        <w:spacing w:before="240" w:after="24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LMICs:       </w:t>
      </w:r>
      <w:r w:rsidRPr="00B44278">
        <w:rPr>
          <w:rFonts w:ascii="Times New Roman" w:eastAsia="Times New Roman" w:hAnsi="Times New Roman" w:cs="Times New Roman"/>
          <w:sz w:val="24"/>
          <w:szCs w:val="24"/>
        </w:rPr>
        <w:tab/>
      </w:r>
      <w:r w:rsidR="006549C2"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Low- and middle-income countries</w:t>
      </w:r>
    </w:p>
    <w:p w14:paraId="099D6843" w14:textId="35DCA717" w:rsidR="00112A6E" w:rsidRPr="00B44278" w:rsidRDefault="00112A6E" w:rsidP="00112A6E">
      <w:pPr>
        <w:spacing w:before="240" w:after="24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ABC:           </w:t>
      </w:r>
      <w:r w:rsidRPr="00B44278">
        <w:rPr>
          <w:rFonts w:ascii="Times New Roman" w:eastAsia="Times New Roman" w:hAnsi="Times New Roman" w:cs="Times New Roman"/>
          <w:sz w:val="24"/>
          <w:szCs w:val="24"/>
        </w:rPr>
        <w:tab/>
      </w:r>
      <w:r w:rsidR="006549C2"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ATP-Binding Cassette</w:t>
      </w:r>
    </w:p>
    <w:p w14:paraId="76B57853" w14:textId="6D02E7C2" w:rsidR="00112A6E" w:rsidRDefault="00112A6E" w:rsidP="00112A6E">
      <w:pPr>
        <w:spacing w:before="240" w:after="24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STAT3:       </w:t>
      </w:r>
      <w:r w:rsidRPr="00B44278">
        <w:rPr>
          <w:rFonts w:ascii="Times New Roman" w:eastAsia="Times New Roman" w:hAnsi="Times New Roman" w:cs="Times New Roman"/>
          <w:sz w:val="24"/>
          <w:szCs w:val="24"/>
        </w:rPr>
        <w:tab/>
      </w:r>
      <w:r w:rsidR="006549C2"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Signal transducer and activator of tra</w:t>
      </w:r>
      <w:r>
        <w:rPr>
          <w:rFonts w:ascii="Times New Roman" w:eastAsia="Times New Roman" w:hAnsi="Times New Roman" w:cs="Times New Roman"/>
          <w:sz w:val="24"/>
          <w:szCs w:val="24"/>
        </w:rPr>
        <w:t>nscription</w:t>
      </w:r>
    </w:p>
    <w:p w14:paraId="2AD60BE1" w14:textId="77777777" w:rsidR="00112A6E" w:rsidRPr="00B44278" w:rsidRDefault="00112A6E" w:rsidP="00112A6E">
      <w:pPr>
        <w:spacing w:before="240" w:after="24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GLOBOCAN:        </w:t>
      </w:r>
      <w:r w:rsidRPr="00B44278">
        <w:rPr>
          <w:rFonts w:ascii="Times New Roman" w:eastAsia="Times New Roman" w:hAnsi="Times New Roman" w:cs="Times New Roman"/>
          <w:sz w:val="24"/>
          <w:szCs w:val="24"/>
        </w:rPr>
        <w:tab/>
        <w:t>Global cancer observatory</w:t>
      </w:r>
    </w:p>
    <w:p w14:paraId="709276CD" w14:textId="2381E57B" w:rsidR="00112A6E" w:rsidRPr="00B44278" w:rsidRDefault="00112A6E" w:rsidP="00112A6E">
      <w:pPr>
        <w:spacing w:before="240" w:after="24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CIN:</w:t>
      </w:r>
      <w:r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ab/>
      </w:r>
      <w:r w:rsidR="006549C2"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Chromosomal instability</w:t>
      </w:r>
    </w:p>
    <w:p w14:paraId="3DE47BED" w14:textId="494D57A8" w:rsidR="00112A6E" w:rsidRPr="00B44278" w:rsidRDefault="00112A6E" w:rsidP="00112A6E">
      <w:pPr>
        <w:spacing w:before="240" w:after="24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MSI:            </w:t>
      </w:r>
      <w:r w:rsidRPr="00B44278">
        <w:rPr>
          <w:rFonts w:ascii="Times New Roman" w:eastAsia="Times New Roman" w:hAnsi="Times New Roman" w:cs="Times New Roman"/>
          <w:sz w:val="24"/>
          <w:szCs w:val="24"/>
        </w:rPr>
        <w:tab/>
      </w:r>
      <w:r w:rsidR="006549C2"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Microsatellite instability</w:t>
      </w:r>
    </w:p>
    <w:p w14:paraId="01730AD8" w14:textId="372895CF" w:rsidR="00112A6E" w:rsidRPr="00B44278" w:rsidRDefault="00112A6E" w:rsidP="00112A6E">
      <w:pPr>
        <w:spacing w:before="240" w:after="24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CIMP:         </w:t>
      </w:r>
      <w:r w:rsidRPr="00B44278">
        <w:rPr>
          <w:rFonts w:ascii="Times New Roman" w:eastAsia="Times New Roman" w:hAnsi="Times New Roman" w:cs="Times New Roman"/>
          <w:sz w:val="24"/>
          <w:szCs w:val="24"/>
        </w:rPr>
        <w:tab/>
      </w:r>
      <w:r w:rsidR="006549C2"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CpG island methylator phenotype</w:t>
      </w:r>
    </w:p>
    <w:p w14:paraId="3573A87B" w14:textId="2B07EE82" w:rsidR="00112A6E" w:rsidRPr="00B44278" w:rsidRDefault="00112A6E" w:rsidP="00112A6E">
      <w:pPr>
        <w:spacing w:before="240" w:after="24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APC:           </w:t>
      </w:r>
      <w:r w:rsidRPr="00B44278">
        <w:rPr>
          <w:rFonts w:ascii="Times New Roman" w:eastAsia="Times New Roman" w:hAnsi="Times New Roman" w:cs="Times New Roman"/>
          <w:sz w:val="24"/>
          <w:szCs w:val="24"/>
        </w:rPr>
        <w:tab/>
      </w:r>
      <w:r w:rsidR="006549C2"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Adenomatous polyposis coli</w:t>
      </w:r>
    </w:p>
    <w:p w14:paraId="31135060" w14:textId="6A55AF91" w:rsidR="00112A6E" w:rsidRPr="00B44278" w:rsidRDefault="00112A6E" w:rsidP="00112A6E">
      <w:pPr>
        <w:spacing w:before="240" w:after="24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EMT:           </w:t>
      </w:r>
      <w:r w:rsidRPr="00B44278">
        <w:rPr>
          <w:rFonts w:ascii="Times New Roman" w:eastAsia="Times New Roman" w:hAnsi="Times New Roman" w:cs="Times New Roman"/>
          <w:sz w:val="24"/>
          <w:szCs w:val="24"/>
        </w:rPr>
        <w:tab/>
      </w:r>
      <w:r w:rsidR="006549C2"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Epithelial-mesenchymal transition</w:t>
      </w:r>
    </w:p>
    <w:p w14:paraId="4CFF4213" w14:textId="6B245204" w:rsidR="00112A6E" w:rsidRPr="00B44278" w:rsidRDefault="00112A6E" w:rsidP="00112A6E">
      <w:pPr>
        <w:spacing w:before="240" w:after="24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AOM:          </w:t>
      </w:r>
      <w:r w:rsidRPr="00B44278">
        <w:rPr>
          <w:rFonts w:ascii="Times New Roman" w:eastAsia="Times New Roman" w:hAnsi="Times New Roman" w:cs="Times New Roman"/>
          <w:sz w:val="24"/>
          <w:szCs w:val="24"/>
        </w:rPr>
        <w:tab/>
      </w:r>
      <w:r w:rsidR="006549C2"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Azoxymethane</w:t>
      </w:r>
    </w:p>
    <w:p w14:paraId="7796AC83" w14:textId="6B6B4203" w:rsidR="00112A6E" w:rsidRPr="00B44278" w:rsidRDefault="00112A6E" w:rsidP="00112A6E">
      <w:pPr>
        <w:spacing w:before="240" w:after="24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MAM:         </w:t>
      </w:r>
      <w:r w:rsidRPr="00B44278">
        <w:rPr>
          <w:rFonts w:ascii="Times New Roman" w:eastAsia="Times New Roman" w:hAnsi="Times New Roman" w:cs="Times New Roman"/>
          <w:sz w:val="24"/>
          <w:szCs w:val="24"/>
        </w:rPr>
        <w:tab/>
      </w:r>
      <w:r w:rsidR="006549C2"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Methylazoxymethanol</w:t>
      </w:r>
    </w:p>
    <w:p w14:paraId="27685C6B" w14:textId="77777777" w:rsidR="001910BD" w:rsidRPr="00B44278" w:rsidRDefault="001910BD" w:rsidP="001910BD">
      <w:pPr>
        <w:rPr>
          <w:rFonts w:ascii="Times New Roman" w:hAnsi="Times New Roman" w:cs="Times New Roman"/>
          <w:sz w:val="24"/>
          <w:szCs w:val="24"/>
        </w:rPr>
      </w:pPr>
    </w:p>
    <w:p w14:paraId="729D51A2" w14:textId="77777777" w:rsidR="001469C4" w:rsidRPr="00B44278" w:rsidRDefault="001469C4">
      <w:pPr>
        <w:spacing w:line="480" w:lineRule="auto"/>
        <w:rPr>
          <w:rFonts w:ascii="Times New Roman" w:eastAsia="Times New Roman" w:hAnsi="Times New Roman" w:cs="Times New Roman"/>
          <w:sz w:val="24"/>
          <w:szCs w:val="24"/>
        </w:rPr>
      </w:pPr>
    </w:p>
    <w:p w14:paraId="1851BB40" w14:textId="77777777" w:rsidR="001469C4" w:rsidRPr="00B44278" w:rsidRDefault="00802A6C">
      <w:pPr>
        <w:spacing w:line="480" w:lineRule="auto"/>
        <w:jc w:val="center"/>
        <w:rPr>
          <w:rFonts w:ascii="Times New Roman" w:eastAsia="Times New Roman" w:hAnsi="Times New Roman" w:cs="Times New Roman"/>
          <w:b/>
          <w:bCs/>
          <w:sz w:val="24"/>
          <w:szCs w:val="24"/>
        </w:rPr>
      </w:pPr>
      <w:r w:rsidRPr="00B44278">
        <w:rPr>
          <w:rFonts w:ascii="Times New Roman" w:eastAsia="Times New Roman" w:hAnsi="Times New Roman" w:cs="Times New Roman"/>
          <w:b/>
          <w:bCs/>
          <w:sz w:val="24"/>
          <w:szCs w:val="24"/>
        </w:rPr>
        <w:t> </w:t>
      </w:r>
    </w:p>
    <w:p w14:paraId="15553EAB" w14:textId="20E218E5" w:rsidR="002B4805" w:rsidRPr="00B44278" w:rsidRDefault="00802A6C" w:rsidP="00904F69">
      <w:pPr>
        <w:spacing w:line="480" w:lineRule="auto"/>
        <w:jc w:val="center"/>
        <w:rPr>
          <w:rFonts w:ascii="Times New Roman" w:eastAsia="Times New Roman" w:hAnsi="Times New Roman" w:cs="Times New Roman"/>
          <w:b/>
          <w:sz w:val="24"/>
          <w:szCs w:val="24"/>
        </w:rPr>
      </w:pPr>
      <w:r w:rsidRPr="00B44278">
        <w:rPr>
          <w:rFonts w:ascii="Times New Roman" w:hAnsi="Times New Roman" w:cs="Times New Roman"/>
          <w:sz w:val="24"/>
          <w:szCs w:val="24"/>
        </w:rPr>
        <w:br w:type="page"/>
      </w:r>
      <w:r w:rsidR="002B4805" w:rsidRPr="00B44278">
        <w:rPr>
          <w:rFonts w:ascii="Times New Roman" w:eastAsia="Times New Roman" w:hAnsi="Times New Roman" w:cs="Times New Roman"/>
          <w:b/>
          <w:sz w:val="24"/>
          <w:szCs w:val="24"/>
        </w:rPr>
        <w:lastRenderedPageBreak/>
        <w:t>TABLE OF CONTENT</w:t>
      </w:r>
      <w:r w:rsidR="00916D07" w:rsidRPr="00B44278">
        <w:rPr>
          <w:rFonts w:ascii="Times New Roman" w:eastAsia="Times New Roman" w:hAnsi="Times New Roman" w:cs="Times New Roman"/>
          <w:b/>
          <w:sz w:val="24"/>
          <w:szCs w:val="24"/>
        </w:rPr>
        <w:t>S</w:t>
      </w:r>
    </w:p>
    <w:p w14:paraId="3FB4D34B" w14:textId="7641D603" w:rsidR="007469BD" w:rsidRPr="00B44278" w:rsidRDefault="007469BD" w:rsidP="007469BD">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Contents</w:t>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t>Pages</w:t>
      </w:r>
    </w:p>
    <w:p w14:paraId="0251DBD9" w14:textId="5F2CE353" w:rsidR="002B4805" w:rsidRPr="00B44278" w:rsidRDefault="002B4805" w:rsidP="002B4805">
      <w:pPr>
        <w:spacing w:line="480" w:lineRule="auto"/>
        <w:rPr>
          <w:rFonts w:ascii="Times New Roman" w:eastAsia="Times New Roman" w:hAnsi="Times New Roman" w:cs="Times New Roman"/>
          <w:iCs/>
          <w:sz w:val="24"/>
          <w:szCs w:val="24"/>
        </w:rPr>
      </w:pPr>
      <w:r w:rsidRPr="00B44278">
        <w:rPr>
          <w:rFonts w:ascii="Times New Roman" w:eastAsia="Times New Roman" w:hAnsi="Times New Roman" w:cs="Times New Roman"/>
          <w:iCs/>
          <w:sz w:val="24"/>
          <w:szCs w:val="24"/>
        </w:rPr>
        <w:t>Title Page</w:t>
      </w:r>
      <w:r w:rsidR="00C76B04" w:rsidRPr="00B44278">
        <w:rPr>
          <w:rFonts w:ascii="Times New Roman" w:eastAsia="Times New Roman" w:hAnsi="Times New Roman" w:cs="Times New Roman"/>
          <w:iCs/>
          <w:sz w:val="24"/>
          <w:szCs w:val="24"/>
        </w:rPr>
        <w:tab/>
      </w:r>
      <w:r w:rsidR="00C76B04" w:rsidRPr="00B44278">
        <w:rPr>
          <w:rFonts w:ascii="Times New Roman" w:eastAsia="Times New Roman" w:hAnsi="Times New Roman" w:cs="Times New Roman"/>
          <w:iCs/>
          <w:sz w:val="24"/>
          <w:szCs w:val="24"/>
        </w:rPr>
        <w:tab/>
      </w:r>
      <w:r w:rsidR="00C76B04" w:rsidRPr="00B44278">
        <w:rPr>
          <w:rFonts w:ascii="Times New Roman" w:eastAsia="Times New Roman" w:hAnsi="Times New Roman" w:cs="Times New Roman"/>
          <w:iCs/>
          <w:sz w:val="24"/>
          <w:szCs w:val="24"/>
        </w:rPr>
        <w:tab/>
      </w:r>
      <w:r w:rsidR="00C76B04" w:rsidRPr="00B44278">
        <w:rPr>
          <w:rFonts w:ascii="Times New Roman" w:eastAsia="Times New Roman" w:hAnsi="Times New Roman" w:cs="Times New Roman"/>
          <w:iCs/>
          <w:sz w:val="24"/>
          <w:szCs w:val="24"/>
        </w:rPr>
        <w:tab/>
      </w:r>
      <w:r w:rsidR="00C76B04" w:rsidRPr="00B44278">
        <w:rPr>
          <w:rFonts w:ascii="Times New Roman" w:eastAsia="Times New Roman" w:hAnsi="Times New Roman" w:cs="Times New Roman"/>
          <w:iCs/>
          <w:sz w:val="24"/>
          <w:szCs w:val="24"/>
        </w:rPr>
        <w:tab/>
      </w:r>
      <w:r w:rsidR="00C76B04" w:rsidRPr="00B44278">
        <w:rPr>
          <w:rFonts w:ascii="Times New Roman" w:eastAsia="Times New Roman" w:hAnsi="Times New Roman" w:cs="Times New Roman"/>
          <w:iCs/>
          <w:sz w:val="24"/>
          <w:szCs w:val="24"/>
        </w:rPr>
        <w:tab/>
      </w:r>
      <w:r w:rsidR="00C76B04" w:rsidRPr="00B44278">
        <w:rPr>
          <w:rFonts w:ascii="Times New Roman" w:eastAsia="Times New Roman" w:hAnsi="Times New Roman" w:cs="Times New Roman"/>
          <w:iCs/>
          <w:sz w:val="24"/>
          <w:szCs w:val="24"/>
        </w:rPr>
        <w:tab/>
      </w:r>
      <w:r w:rsidR="00C76B04" w:rsidRPr="00B44278">
        <w:rPr>
          <w:rFonts w:ascii="Times New Roman" w:eastAsia="Times New Roman" w:hAnsi="Times New Roman" w:cs="Times New Roman"/>
          <w:iCs/>
          <w:sz w:val="24"/>
          <w:szCs w:val="24"/>
        </w:rPr>
        <w:tab/>
      </w:r>
      <w:r w:rsidR="00C76B04" w:rsidRPr="00B44278">
        <w:rPr>
          <w:rFonts w:ascii="Times New Roman" w:eastAsia="Times New Roman" w:hAnsi="Times New Roman" w:cs="Times New Roman"/>
          <w:iCs/>
          <w:sz w:val="24"/>
          <w:szCs w:val="24"/>
        </w:rPr>
        <w:tab/>
      </w:r>
      <w:r w:rsidR="00C76B04"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 xml:space="preserve">   </w:t>
      </w:r>
      <w:r w:rsidRPr="00B44278">
        <w:rPr>
          <w:rFonts w:ascii="Times New Roman" w:eastAsia="Times New Roman" w:hAnsi="Times New Roman" w:cs="Times New Roman"/>
          <w:iCs/>
          <w:sz w:val="24"/>
          <w:szCs w:val="24"/>
        </w:rPr>
        <w:t>i</w:t>
      </w:r>
    </w:p>
    <w:p w14:paraId="196BD060" w14:textId="09454CF1" w:rsidR="002B4805" w:rsidRPr="00B44278" w:rsidRDefault="002B4805" w:rsidP="002B4805">
      <w:pPr>
        <w:spacing w:line="480" w:lineRule="auto"/>
        <w:rPr>
          <w:rFonts w:ascii="Times New Roman" w:eastAsia="Times New Roman" w:hAnsi="Times New Roman" w:cs="Times New Roman"/>
          <w:iCs/>
          <w:sz w:val="24"/>
          <w:szCs w:val="24"/>
        </w:rPr>
      </w:pPr>
      <w:r w:rsidRPr="00B44278">
        <w:rPr>
          <w:rFonts w:ascii="Times New Roman" w:eastAsia="Times New Roman" w:hAnsi="Times New Roman" w:cs="Times New Roman"/>
          <w:iCs/>
          <w:sz w:val="24"/>
          <w:szCs w:val="24"/>
        </w:rPr>
        <w:t>Abstract</w:t>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t xml:space="preserve">   </w:t>
      </w:r>
      <w:r w:rsidRPr="00B44278">
        <w:rPr>
          <w:rFonts w:ascii="Times New Roman" w:eastAsia="Times New Roman" w:hAnsi="Times New Roman" w:cs="Times New Roman"/>
          <w:iCs/>
          <w:sz w:val="24"/>
          <w:szCs w:val="24"/>
        </w:rPr>
        <w:t>ii</w:t>
      </w:r>
    </w:p>
    <w:p w14:paraId="5825C3B9" w14:textId="74887875" w:rsidR="002B4805" w:rsidRPr="00B44278" w:rsidRDefault="002B4805" w:rsidP="002B4805">
      <w:pPr>
        <w:spacing w:line="480" w:lineRule="auto"/>
        <w:rPr>
          <w:rFonts w:ascii="Times New Roman" w:eastAsia="Times New Roman" w:hAnsi="Times New Roman" w:cs="Times New Roman"/>
          <w:iCs/>
          <w:sz w:val="24"/>
          <w:szCs w:val="24"/>
        </w:rPr>
      </w:pPr>
      <w:r w:rsidRPr="00B44278">
        <w:rPr>
          <w:rFonts w:ascii="Times New Roman" w:eastAsia="Times New Roman" w:hAnsi="Times New Roman" w:cs="Times New Roman"/>
          <w:iCs/>
          <w:sz w:val="24"/>
          <w:szCs w:val="24"/>
        </w:rPr>
        <w:t>Certification</w:t>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t xml:space="preserve">   </w:t>
      </w:r>
      <w:r w:rsidRPr="00B44278">
        <w:rPr>
          <w:rFonts w:ascii="Times New Roman" w:eastAsia="Times New Roman" w:hAnsi="Times New Roman" w:cs="Times New Roman"/>
          <w:iCs/>
          <w:sz w:val="24"/>
          <w:szCs w:val="24"/>
        </w:rPr>
        <w:t>iv</w:t>
      </w:r>
    </w:p>
    <w:p w14:paraId="3BD280AD" w14:textId="4DB6F3F8" w:rsidR="002B4805" w:rsidRPr="00B44278" w:rsidRDefault="002B4805" w:rsidP="002B4805">
      <w:pPr>
        <w:spacing w:line="480" w:lineRule="auto"/>
        <w:rPr>
          <w:rFonts w:ascii="Times New Roman" w:eastAsia="Times New Roman" w:hAnsi="Times New Roman" w:cs="Times New Roman"/>
          <w:iCs/>
          <w:sz w:val="24"/>
          <w:szCs w:val="24"/>
        </w:rPr>
      </w:pPr>
      <w:r w:rsidRPr="00B44278">
        <w:rPr>
          <w:rFonts w:ascii="Times New Roman" w:eastAsia="Times New Roman" w:hAnsi="Times New Roman" w:cs="Times New Roman"/>
          <w:iCs/>
          <w:sz w:val="24"/>
          <w:szCs w:val="24"/>
        </w:rPr>
        <w:t>Dedication</w:t>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t xml:space="preserve">   </w:t>
      </w:r>
      <w:r w:rsidRPr="00B44278">
        <w:rPr>
          <w:rFonts w:ascii="Times New Roman" w:eastAsia="Times New Roman" w:hAnsi="Times New Roman" w:cs="Times New Roman"/>
          <w:iCs/>
          <w:sz w:val="24"/>
          <w:szCs w:val="24"/>
        </w:rPr>
        <w:t>v</w:t>
      </w:r>
    </w:p>
    <w:p w14:paraId="159F38FA" w14:textId="6479F438" w:rsidR="002B4805" w:rsidRPr="00B44278" w:rsidRDefault="002B4805" w:rsidP="002B4805">
      <w:pPr>
        <w:spacing w:line="480" w:lineRule="auto"/>
        <w:rPr>
          <w:rFonts w:ascii="Times New Roman" w:eastAsia="Times New Roman" w:hAnsi="Times New Roman" w:cs="Times New Roman"/>
          <w:iCs/>
          <w:sz w:val="24"/>
          <w:szCs w:val="24"/>
        </w:rPr>
      </w:pPr>
      <w:r w:rsidRPr="00B44278">
        <w:rPr>
          <w:rFonts w:ascii="Times New Roman" w:eastAsia="Times New Roman" w:hAnsi="Times New Roman" w:cs="Times New Roman"/>
          <w:iCs/>
          <w:sz w:val="24"/>
          <w:szCs w:val="24"/>
        </w:rPr>
        <w:t>Acknowledgement</w:t>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t xml:space="preserve">   </w:t>
      </w:r>
      <w:r w:rsidRPr="00B44278">
        <w:rPr>
          <w:rFonts w:ascii="Times New Roman" w:eastAsia="Times New Roman" w:hAnsi="Times New Roman" w:cs="Times New Roman"/>
          <w:iCs/>
          <w:sz w:val="24"/>
          <w:szCs w:val="24"/>
        </w:rPr>
        <w:t>vi</w:t>
      </w:r>
    </w:p>
    <w:p w14:paraId="18599747" w14:textId="69B62EEA" w:rsidR="002B4805" w:rsidRPr="00B44278" w:rsidRDefault="002B4805" w:rsidP="002B4805">
      <w:pPr>
        <w:spacing w:line="480" w:lineRule="auto"/>
        <w:rPr>
          <w:rFonts w:ascii="Times New Roman" w:eastAsia="Times New Roman" w:hAnsi="Times New Roman" w:cs="Times New Roman"/>
          <w:iCs/>
          <w:sz w:val="24"/>
          <w:szCs w:val="24"/>
        </w:rPr>
      </w:pPr>
      <w:r w:rsidRPr="00B44278">
        <w:rPr>
          <w:rFonts w:ascii="Times New Roman" w:eastAsia="Times New Roman" w:hAnsi="Times New Roman" w:cs="Times New Roman"/>
          <w:iCs/>
          <w:sz w:val="24"/>
          <w:szCs w:val="24"/>
        </w:rPr>
        <w:t>List of Table</w:t>
      </w:r>
      <w:r w:rsidR="0077336A" w:rsidRPr="00B44278">
        <w:rPr>
          <w:rFonts w:ascii="Times New Roman" w:eastAsia="Times New Roman" w:hAnsi="Times New Roman" w:cs="Times New Roman"/>
          <w:iCs/>
          <w:sz w:val="24"/>
          <w:szCs w:val="24"/>
        </w:rPr>
        <w:t>s</w:t>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t xml:space="preserve">   </w:t>
      </w:r>
      <w:r w:rsidRPr="00B44278">
        <w:rPr>
          <w:rFonts w:ascii="Times New Roman" w:eastAsia="Times New Roman" w:hAnsi="Times New Roman" w:cs="Times New Roman"/>
          <w:iCs/>
          <w:sz w:val="24"/>
          <w:szCs w:val="24"/>
        </w:rPr>
        <w:t>vii</w:t>
      </w:r>
    </w:p>
    <w:p w14:paraId="400D4B12" w14:textId="79B4B92A" w:rsidR="002B4805" w:rsidRPr="00B44278" w:rsidRDefault="0077336A" w:rsidP="002B4805">
      <w:pPr>
        <w:spacing w:line="480" w:lineRule="auto"/>
        <w:rPr>
          <w:rFonts w:ascii="Times New Roman" w:eastAsia="Times New Roman" w:hAnsi="Times New Roman" w:cs="Times New Roman"/>
          <w:iCs/>
          <w:sz w:val="24"/>
          <w:szCs w:val="24"/>
        </w:rPr>
      </w:pPr>
      <w:r w:rsidRPr="00B44278">
        <w:rPr>
          <w:rFonts w:ascii="Times New Roman" w:eastAsia="Times New Roman" w:hAnsi="Times New Roman" w:cs="Times New Roman"/>
          <w:iCs/>
          <w:sz w:val="24"/>
          <w:szCs w:val="24"/>
        </w:rPr>
        <w:t>List of Figures</w:t>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r>
      <w:r w:rsidR="0047412D" w:rsidRPr="00B44278">
        <w:rPr>
          <w:rFonts w:ascii="Times New Roman" w:eastAsia="Times New Roman" w:hAnsi="Times New Roman" w:cs="Times New Roman"/>
          <w:iCs/>
          <w:sz w:val="24"/>
          <w:szCs w:val="24"/>
        </w:rPr>
        <w:tab/>
        <w:t xml:space="preserve">   </w:t>
      </w:r>
      <w:r w:rsidR="002B4805" w:rsidRPr="00B44278">
        <w:rPr>
          <w:rFonts w:ascii="Times New Roman" w:eastAsia="Times New Roman" w:hAnsi="Times New Roman" w:cs="Times New Roman"/>
          <w:iCs/>
          <w:sz w:val="24"/>
          <w:szCs w:val="24"/>
        </w:rPr>
        <w:t>viii</w:t>
      </w:r>
    </w:p>
    <w:p w14:paraId="4B172271" w14:textId="4AD3783C" w:rsidR="00916D07" w:rsidRPr="00B44278" w:rsidRDefault="00916D07" w:rsidP="002B4805">
      <w:pPr>
        <w:spacing w:line="480" w:lineRule="auto"/>
        <w:rPr>
          <w:rFonts w:ascii="Times New Roman" w:eastAsia="Times New Roman" w:hAnsi="Times New Roman" w:cs="Times New Roman"/>
          <w:iCs/>
          <w:sz w:val="24"/>
          <w:szCs w:val="24"/>
        </w:rPr>
      </w:pPr>
      <w:r w:rsidRPr="00B44278">
        <w:rPr>
          <w:rFonts w:ascii="Times New Roman" w:eastAsia="Times New Roman" w:hAnsi="Times New Roman" w:cs="Times New Roman"/>
          <w:iCs/>
          <w:sz w:val="24"/>
          <w:szCs w:val="24"/>
        </w:rPr>
        <w:t>List of Abbreviation</w:t>
      </w:r>
      <w:r w:rsidR="00184800" w:rsidRPr="00B44278">
        <w:rPr>
          <w:rFonts w:ascii="Times New Roman" w:eastAsia="Times New Roman" w:hAnsi="Times New Roman" w:cs="Times New Roman"/>
          <w:iCs/>
          <w:sz w:val="24"/>
          <w:szCs w:val="24"/>
        </w:rPr>
        <w:tab/>
      </w:r>
      <w:r w:rsidR="00184800" w:rsidRPr="00B44278">
        <w:rPr>
          <w:rFonts w:ascii="Times New Roman" w:eastAsia="Times New Roman" w:hAnsi="Times New Roman" w:cs="Times New Roman"/>
          <w:iCs/>
          <w:sz w:val="24"/>
          <w:szCs w:val="24"/>
        </w:rPr>
        <w:tab/>
      </w:r>
      <w:r w:rsidR="00184800" w:rsidRPr="00B44278">
        <w:rPr>
          <w:rFonts w:ascii="Times New Roman" w:eastAsia="Times New Roman" w:hAnsi="Times New Roman" w:cs="Times New Roman"/>
          <w:iCs/>
          <w:sz w:val="24"/>
          <w:szCs w:val="24"/>
        </w:rPr>
        <w:tab/>
      </w:r>
      <w:r w:rsidR="00184800" w:rsidRPr="00B44278">
        <w:rPr>
          <w:rFonts w:ascii="Times New Roman" w:eastAsia="Times New Roman" w:hAnsi="Times New Roman" w:cs="Times New Roman"/>
          <w:iCs/>
          <w:sz w:val="24"/>
          <w:szCs w:val="24"/>
        </w:rPr>
        <w:tab/>
      </w:r>
      <w:r w:rsidR="00184800" w:rsidRPr="00B44278">
        <w:rPr>
          <w:rFonts w:ascii="Times New Roman" w:eastAsia="Times New Roman" w:hAnsi="Times New Roman" w:cs="Times New Roman"/>
          <w:iCs/>
          <w:sz w:val="24"/>
          <w:szCs w:val="24"/>
        </w:rPr>
        <w:tab/>
      </w:r>
      <w:r w:rsidR="00184800" w:rsidRPr="00B44278">
        <w:rPr>
          <w:rFonts w:ascii="Times New Roman" w:eastAsia="Times New Roman" w:hAnsi="Times New Roman" w:cs="Times New Roman"/>
          <w:iCs/>
          <w:sz w:val="24"/>
          <w:szCs w:val="24"/>
        </w:rPr>
        <w:tab/>
      </w:r>
      <w:r w:rsidR="00184800" w:rsidRPr="00B44278">
        <w:rPr>
          <w:rFonts w:ascii="Times New Roman" w:eastAsia="Times New Roman" w:hAnsi="Times New Roman" w:cs="Times New Roman"/>
          <w:iCs/>
          <w:sz w:val="24"/>
          <w:szCs w:val="24"/>
        </w:rPr>
        <w:tab/>
      </w:r>
      <w:r w:rsidR="00184800" w:rsidRPr="00B44278">
        <w:rPr>
          <w:rFonts w:ascii="Times New Roman" w:eastAsia="Times New Roman" w:hAnsi="Times New Roman" w:cs="Times New Roman"/>
          <w:iCs/>
          <w:sz w:val="24"/>
          <w:szCs w:val="24"/>
        </w:rPr>
        <w:tab/>
      </w:r>
      <w:r w:rsidR="00184800" w:rsidRPr="00B44278">
        <w:rPr>
          <w:rFonts w:ascii="Times New Roman" w:eastAsia="Times New Roman" w:hAnsi="Times New Roman" w:cs="Times New Roman"/>
          <w:iCs/>
          <w:sz w:val="24"/>
          <w:szCs w:val="24"/>
        </w:rPr>
        <w:tab/>
        <w:t xml:space="preserve">    </w:t>
      </w:r>
      <w:r w:rsidRPr="00B44278">
        <w:rPr>
          <w:rFonts w:ascii="Times New Roman" w:eastAsia="Times New Roman" w:hAnsi="Times New Roman" w:cs="Times New Roman"/>
          <w:iCs/>
          <w:sz w:val="24"/>
          <w:szCs w:val="24"/>
        </w:rPr>
        <w:t>x</w:t>
      </w:r>
    </w:p>
    <w:p w14:paraId="5905C7EE" w14:textId="321B58C8" w:rsidR="002B4805" w:rsidRPr="00B44278" w:rsidRDefault="00184800" w:rsidP="002B4805">
      <w:pPr>
        <w:spacing w:line="480" w:lineRule="auto"/>
        <w:rPr>
          <w:rFonts w:ascii="Times New Roman" w:eastAsia="Times New Roman" w:hAnsi="Times New Roman" w:cs="Times New Roman"/>
          <w:iCs/>
          <w:sz w:val="24"/>
          <w:szCs w:val="24"/>
        </w:rPr>
      </w:pPr>
      <w:r w:rsidRPr="00B44278">
        <w:rPr>
          <w:rFonts w:ascii="Times New Roman" w:eastAsia="Times New Roman" w:hAnsi="Times New Roman" w:cs="Times New Roman"/>
          <w:iCs/>
          <w:sz w:val="24"/>
          <w:szCs w:val="24"/>
        </w:rPr>
        <w:t>Table of Contents</w:t>
      </w:r>
      <w:r w:rsidRPr="00B44278">
        <w:rPr>
          <w:rFonts w:ascii="Times New Roman" w:eastAsia="Times New Roman" w:hAnsi="Times New Roman" w:cs="Times New Roman"/>
          <w:iCs/>
          <w:sz w:val="24"/>
          <w:szCs w:val="24"/>
        </w:rPr>
        <w:tab/>
      </w:r>
      <w:r w:rsidRPr="00B44278">
        <w:rPr>
          <w:rFonts w:ascii="Times New Roman" w:eastAsia="Times New Roman" w:hAnsi="Times New Roman" w:cs="Times New Roman"/>
          <w:iCs/>
          <w:sz w:val="24"/>
          <w:szCs w:val="24"/>
        </w:rPr>
        <w:tab/>
      </w:r>
      <w:r w:rsidRPr="00B44278">
        <w:rPr>
          <w:rFonts w:ascii="Times New Roman" w:eastAsia="Times New Roman" w:hAnsi="Times New Roman" w:cs="Times New Roman"/>
          <w:iCs/>
          <w:sz w:val="24"/>
          <w:szCs w:val="24"/>
        </w:rPr>
        <w:tab/>
      </w:r>
      <w:r w:rsidRPr="00B44278">
        <w:rPr>
          <w:rFonts w:ascii="Times New Roman" w:eastAsia="Times New Roman" w:hAnsi="Times New Roman" w:cs="Times New Roman"/>
          <w:iCs/>
          <w:sz w:val="24"/>
          <w:szCs w:val="24"/>
        </w:rPr>
        <w:tab/>
      </w:r>
      <w:r w:rsidRPr="00B44278">
        <w:rPr>
          <w:rFonts w:ascii="Times New Roman" w:eastAsia="Times New Roman" w:hAnsi="Times New Roman" w:cs="Times New Roman"/>
          <w:iCs/>
          <w:sz w:val="24"/>
          <w:szCs w:val="24"/>
        </w:rPr>
        <w:tab/>
      </w:r>
      <w:r w:rsidRPr="00B44278">
        <w:rPr>
          <w:rFonts w:ascii="Times New Roman" w:eastAsia="Times New Roman" w:hAnsi="Times New Roman" w:cs="Times New Roman"/>
          <w:iCs/>
          <w:sz w:val="24"/>
          <w:szCs w:val="24"/>
        </w:rPr>
        <w:tab/>
      </w:r>
      <w:r w:rsidRPr="00B44278">
        <w:rPr>
          <w:rFonts w:ascii="Times New Roman" w:eastAsia="Times New Roman" w:hAnsi="Times New Roman" w:cs="Times New Roman"/>
          <w:iCs/>
          <w:sz w:val="24"/>
          <w:szCs w:val="24"/>
        </w:rPr>
        <w:tab/>
        <w:t xml:space="preserve">                            </w:t>
      </w:r>
      <w:r w:rsidR="002B4805" w:rsidRPr="00B44278">
        <w:rPr>
          <w:rFonts w:ascii="Times New Roman" w:eastAsia="Times New Roman" w:hAnsi="Times New Roman" w:cs="Times New Roman"/>
          <w:iCs/>
          <w:sz w:val="24"/>
          <w:szCs w:val="24"/>
        </w:rPr>
        <w:t>x</w:t>
      </w:r>
      <w:r w:rsidR="006C11B5" w:rsidRPr="00B44278">
        <w:rPr>
          <w:rFonts w:ascii="Times New Roman" w:eastAsia="Times New Roman" w:hAnsi="Times New Roman" w:cs="Times New Roman"/>
          <w:iCs/>
          <w:sz w:val="24"/>
          <w:szCs w:val="24"/>
        </w:rPr>
        <w:t>i</w:t>
      </w:r>
    </w:p>
    <w:p w14:paraId="4DD3DFDC" w14:textId="79996E27" w:rsidR="002B4805" w:rsidRPr="00B44278" w:rsidRDefault="00184800" w:rsidP="002B480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CHAPTER ONE</w:t>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t xml:space="preserve">    </w:t>
      </w:r>
      <w:r w:rsidR="002B4805" w:rsidRPr="00B44278">
        <w:rPr>
          <w:rFonts w:ascii="Times New Roman" w:eastAsia="Times New Roman" w:hAnsi="Times New Roman" w:cs="Times New Roman"/>
          <w:sz w:val="24"/>
          <w:szCs w:val="24"/>
        </w:rPr>
        <w:t>1</w:t>
      </w:r>
    </w:p>
    <w:p w14:paraId="543FD210" w14:textId="0B04EE7A" w:rsidR="002B4805" w:rsidRPr="00B44278" w:rsidRDefault="002B4805" w:rsidP="002B480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1.0</w:t>
      </w:r>
      <w:r w:rsidRPr="00B44278">
        <w:rPr>
          <w:rFonts w:ascii="Times New Roman" w:eastAsia="Times New Roman" w:hAnsi="Times New Roman" w:cs="Times New Roman"/>
          <w:sz w:val="24"/>
          <w:szCs w:val="24"/>
        </w:rPr>
        <w:tab/>
        <w:t>INTRODUCTI</w:t>
      </w:r>
      <w:r w:rsidR="00184800" w:rsidRPr="00B44278">
        <w:rPr>
          <w:rFonts w:ascii="Times New Roman" w:eastAsia="Times New Roman" w:hAnsi="Times New Roman" w:cs="Times New Roman"/>
          <w:sz w:val="24"/>
          <w:szCs w:val="24"/>
        </w:rPr>
        <w:t>ON</w:t>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1</w:t>
      </w:r>
    </w:p>
    <w:p w14:paraId="2F6A932B" w14:textId="6BED0926" w:rsidR="002B4805" w:rsidRPr="00B44278" w:rsidRDefault="002B4805" w:rsidP="002B480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1.1</w:t>
      </w:r>
      <w:r w:rsidRPr="00B44278">
        <w:rPr>
          <w:rFonts w:ascii="Times New Roman" w:eastAsia="Times New Roman" w:hAnsi="Times New Roman" w:cs="Times New Roman"/>
          <w:sz w:val="24"/>
          <w:szCs w:val="24"/>
        </w:rPr>
        <w:tab/>
        <w:t xml:space="preserve">Background to the </w:t>
      </w:r>
      <w:r w:rsidR="00184800" w:rsidRPr="00B44278">
        <w:rPr>
          <w:rFonts w:ascii="Times New Roman" w:eastAsia="Times New Roman" w:hAnsi="Times New Roman" w:cs="Times New Roman"/>
          <w:sz w:val="24"/>
          <w:szCs w:val="24"/>
        </w:rPr>
        <w:t>Study</w:t>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1</w:t>
      </w:r>
    </w:p>
    <w:p w14:paraId="269CACEB" w14:textId="58D8ED17" w:rsidR="002B4805" w:rsidRPr="00B44278" w:rsidRDefault="002B4805" w:rsidP="002B480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1.2</w:t>
      </w:r>
      <w:r w:rsidRPr="00B44278">
        <w:rPr>
          <w:rFonts w:ascii="Times New Roman" w:eastAsia="Times New Roman" w:hAnsi="Times New Roman" w:cs="Times New Roman"/>
          <w:sz w:val="24"/>
          <w:szCs w:val="24"/>
        </w:rPr>
        <w:tab/>
        <w:t>Statement of the Pr</w:t>
      </w:r>
      <w:r w:rsidR="00184800" w:rsidRPr="00B44278">
        <w:rPr>
          <w:rFonts w:ascii="Times New Roman" w:eastAsia="Times New Roman" w:hAnsi="Times New Roman" w:cs="Times New Roman"/>
          <w:sz w:val="24"/>
          <w:szCs w:val="24"/>
        </w:rPr>
        <w:t>oblem</w:t>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t xml:space="preserve">    </w:t>
      </w:r>
      <w:r w:rsidR="0002127C" w:rsidRPr="00B44278">
        <w:rPr>
          <w:rFonts w:ascii="Times New Roman" w:eastAsia="Times New Roman" w:hAnsi="Times New Roman" w:cs="Times New Roman"/>
          <w:sz w:val="24"/>
          <w:szCs w:val="24"/>
        </w:rPr>
        <w:t>4</w:t>
      </w:r>
    </w:p>
    <w:p w14:paraId="63A2741B" w14:textId="1853982C" w:rsidR="002B4805" w:rsidRPr="00B44278" w:rsidRDefault="002B4805" w:rsidP="002B480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1.3 </w:t>
      </w:r>
      <w:r w:rsidRPr="00B44278">
        <w:rPr>
          <w:rFonts w:ascii="Times New Roman" w:eastAsia="Times New Roman" w:hAnsi="Times New Roman" w:cs="Times New Roman"/>
          <w:sz w:val="24"/>
          <w:szCs w:val="24"/>
        </w:rPr>
        <w:tab/>
        <w:t>Justification of the</w:t>
      </w:r>
      <w:r w:rsidR="00184800" w:rsidRPr="00B44278">
        <w:rPr>
          <w:rFonts w:ascii="Times New Roman" w:eastAsia="Times New Roman" w:hAnsi="Times New Roman" w:cs="Times New Roman"/>
          <w:sz w:val="24"/>
          <w:szCs w:val="24"/>
        </w:rPr>
        <w:t xml:space="preserve"> Study</w:t>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5</w:t>
      </w:r>
    </w:p>
    <w:p w14:paraId="6A4D2D9C" w14:textId="0BA9432A" w:rsidR="002B4805" w:rsidRPr="00B44278" w:rsidRDefault="002B4805" w:rsidP="002B480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1.4</w:t>
      </w:r>
      <w:r w:rsidRPr="00B44278">
        <w:rPr>
          <w:rFonts w:ascii="Times New Roman" w:eastAsia="Times New Roman" w:hAnsi="Times New Roman" w:cs="Times New Roman"/>
          <w:sz w:val="24"/>
          <w:szCs w:val="24"/>
        </w:rPr>
        <w:tab/>
        <w:t>Research Questi</w:t>
      </w:r>
      <w:r w:rsidR="00184800" w:rsidRPr="00B44278">
        <w:rPr>
          <w:rFonts w:ascii="Times New Roman" w:eastAsia="Times New Roman" w:hAnsi="Times New Roman" w:cs="Times New Roman"/>
          <w:sz w:val="24"/>
          <w:szCs w:val="24"/>
        </w:rPr>
        <w:t>ons</w:t>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6</w:t>
      </w:r>
    </w:p>
    <w:p w14:paraId="2DDBB8E7" w14:textId="2B312737" w:rsidR="002B4805" w:rsidRPr="00B44278" w:rsidRDefault="002B4805" w:rsidP="002B480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1.5</w:t>
      </w:r>
      <w:r w:rsidRPr="00B44278">
        <w:rPr>
          <w:rFonts w:ascii="Times New Roman" w:eastAsia="Times New Roman" w:hAnsi="Times New Roman" w:cs="Times New Roman"/>
          <w:sz w:val="24"/>
          <w:szCs w:val="24"/>
        </w:rPr>
        <w:tab/>
        <w:t>Research Ai</w:t>
      </w:r>
      <w:r w:rsidR="00184800" w:rsidRPr="00B44278">
        <w:rPr>
          <w:rFonts w:ascii="Times New Roman" w:eastAsia="Times New Roman" w:hAnsi="Times New Roman" w:cs="Times New Roman"/>
          <w:sz w:val="24"/>
          <w:szCs w:val="24"/>
        </w:rPr>
        <w:t>m</w:t>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r>
      <w:r w:rsidR="00184800"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 xml:space="preserve">6 </w:t>
      </w:r>
    </w:p>
    <w:p w14:paraId="2D94FE24" w14:textId="60CEE92C" w:rsidR="0077336A" w:rsidRPr="00B44278" w:rsidRDefault="002B4805" w:rsidP="0077336A">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1.6</w:t>
      </w:r>
      <w:r w:rsidRPr="00B44278">
        <w:rPr>
          <w:rFonts w:ascii="Times New Roman" w:eastAsia="Times New Roman" w:hAnsi="Times New Roman" w:cs="Times New Roman"/>
          <w:sz w:val="24"/>
          <w:szCs w:val="24"/>
        </w:rPr>
        <w:tab/>
        <w:t>Research Objectiv</w:t>
      </w:r>
      <w:r w:rsidR="00EC0F2B" w:rsidRPr="00B44278">
        <w:rPr>
          <w:rFonts w:ascii="Times New Roman" w:eastAsia="Times New Roman" w:hAnsi="Times New Roman" w:cs="Times New Roman"/>
          <w:sz w:val="24"/>
          <w:szCs w:val="24"/>
        </w:rPr>
        <w:t>es</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00AF2BF6" w:rsidRPr="00B44278">
        <w:rPr>
          <w:rFonts w:ascii="Times New Roman" w:eastAsia="Times New Roman" w:hAnsi="Times New Roman" w:cs="Times New Roman"/>
          <w:sz w:val="24"/>
          <w:szCs w:val="24"/>
        </w:rPr>
        <w:t>6</w:t>
      </w:r>
    </w:p>
    <w:p w14:paraId="6D6ECA56" w14:textId="4806296D" w:rsidR="002B4805" w:rsidRPr="00B44278" w:rsidRDefault="002B4805" w:rsidP="002B480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CHAPTER TWO</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8</w:t>
      </w:r>
    </w:p>
    <w:p w14:paraId="204C9494" w14:textId="7A4B58AA"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lastRenderedPageBreak/>
        <w:t>CHAPTER TWO</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8</w:t>
      </w:r>
    </w:p>
    <w:p w14:paraId="34ECB667" w14:textId="7CC2EAC8"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2.0</w:t>
      </w:r>
      <w:r w:rsidRPr="00B44278">
        <w:rPr>
          <w:rFonts w:ascii="Times New Roman" w:eastAsia="Times New Roman" w:hAnsi="Times New Roman" w:cs="Times New Roman"/>
          <w:sz w:val="24"/>
          <w:szCs w:val="24"/>
        </w:rPr>
        <w:tab/>
        <w:t>LITERATURE</w:t>
      </w:r>
      <w:r w:rsidR="00EC0F2B" w:rsidRPr="00B44278">
        <w:rPr>
          <w:rFonts w:ascii="Times New Roman" w:eastAsia="Times New Roman" w:hAnsi="Times New Roman" w:cs="Times New Roman"/>
          <w:sz w:val="24"/>
          <w:szCs w:val="24"/>
        </w:rPr>
        <w:t xml:space="preserve"> REVIEW</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8</w:t>
      </w:r>
    </w:p>
    <w:p w14:paraId="781E4F94" w14:textId="676D5E2E" w:rsidR="00F76E75" w:rsidRPr="00B44278" w:rsidRDefault="00EC0F2B"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2.1</w:t>
      </w:r>
      <w:r w:rsidRPr="00B44278">
        <w:rPr>
          <w:rFonts w:ascii="Times New Roman" w:eastAsia="Times New Roman" w:hAnsi="Times New Roman" w:cs="Times New Roman"/>
          <w:sz w:val="24"/>
          <w:szCs w:val="24"/>
        </w:rPr>
        <w:tab/>
        <w:t>Overview</w:t>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t xml:space="preserve">    </w:t>
      </w:r>
      <w:r w:rsidR="00F76E75" w:rsidRPr="00B44278">
        <w:rPr>
          <w:rFonts w:ascii="Times New Roman" w:eastAsia="Times New Roman" w:hAnsi="Times New Roman" w:cs="Times New Roman"/>
          <w:sz w:val="24"/>
          <w:szCs w:val="24"/>
        </w:rPr>
        <w:t>8</w:t>
      </w:r>
    </w:p>
    <w:p w14:paraId="3DDFC984" w14:textId="7813E0DF"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2.2</w:t>
      </w:r>
      <w:r w:rsidRPr="00B44278">
        <w:rPr>
          <w:rFonts w:ascii="Times New Roman" w:eastAsia="Times New Roman" w:hAnsi="Times New Roman" w:cs="Times New Roman"/>
          <w:sz w:val="24"/>
          <w:szCs w:val="24"/>
        </w:rPr>
        <w:tab/>
        <w:t>Global Epidemiology and B</w:t>
      </w:r>
      <w:r w:rsidR="00EC0F2B" w:rsidRPr="00B44278">
        <w:rPr>
          <w:rFonts w:ascii="Times New Roman" w:eastAsia="Times New Roman" w:hAnsi="Times New Roman" w:cs="Times New Roman"/>
          <w:sz w:val="24"/>
          <w:szCs w:val="24"/>
        </w:rPr>
        <w:t>urden of CRC</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8</w:t>
      </w:r>
    </w:p>
    <w:p w14:paraId="4D42A465" w14:textId="6F64F60A"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2.3</w:t>
      </w:r>
      <w:r w:rsidRPr="00B44278">
        <w:rPr>
          <w:rFonts w:ascii="Times New Roman" w:eastAsia="Times New Roman" w:hAnsi="Times New Roman" w:cs="Times New Roman"/>
          <w:sz w:val="24"/>
          <w:szCs w:val="24"/>
        </w:rPr>
        <w:tab/>
        <w:t xml:space="preserve">Pathophysiology and Molecular </w:t>
      </w:r>
      <w:r w:rsidR="00EC0F2B" w:rsidRPr="00B44278">
        <w:rPr>
          <w:rFonts w:ascii="Times New Roman" w:eastAsia="Times New Roman" w:hAnsi="Times New Roman" w:cs="Times New Roman"/>
          <w:sz w:val="24"/>
          <w:szCs w:val="24"/>
        </w:rPr>
        <w:t>Mechanisms of CRC</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11</w:t>
      </w:r>
    </w:p>
    <w:p w14:paraId="10A98F8F" w14:textId="1E22B284"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2.3.1</w:t>
      </w:r>
      <w:r w:rsidRPr="00B44278">
        <w:rPr>
          <w:rFonts w:ascii="Times New Roman" w:eastAsia="Times New Roman" w:hAnsi="Times New Roman" w:cs="Times New Roman"/>
          <w:sz w:val="24"/>
          <w:szCs w:val="24"/>
        </w:rPr>
        <w:tab/>
        <w:t>Mechanism of Azoxymeth</w:t>
      </w:r>
      <w:r w:rsidR="00EC0F2B" w:rsidRPr="00B44278">
        <w:rPr>
          <w:rFonts w:ascii="Times New Roman" w:eastAsia="Times New Roman" w:hAnsi="Times New Roman" w:cs="Times New Roman"/>
          <w:sz w:val="24"/>
          <w:szCs w:val="24"/>
        </w:rPr>
        <w:t>ane-Induced CRC</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14</w:t>
      </w:r>
    </w:p>
    <w:p w14:paraId="53F524C2" w14:textId="5E58CC1D"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2.4</w:t>
      </w:r>
      <w:r w:rsidRPr="00B44278">
        <w:rPr>
          <w:rFonts w:ascii="Times New Roman" w:eastAsia="Times New Roman" w:hAnsi="Times New Roman" w:cs="Times New Roman"/>
          <w:sz w:val="24"/>
          <w:szCs w:val="24"/>
        </w:rPr>
        <w:tab/>
        <w:t>Conventional Therapeutic Approac</w:t>
      </w:r>
      <w:r w:rsidR="00EC0F2B" w:rsidRPr="00B44278">
        <w:rPr>
          <w:rFonts w:ascii="Times New Roman" w:eastAsia="Times New Roman" w:hAnsi="Times New Roman" w:cs="Times New Roman"/>
          <w:sz w:val="24"/>
          <w:szCs w:val="24"/>
        </w:rPr>
        <w:t>hes and Limitations</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15</w:t>
      </w:r>
    </w:p>
    <w:p w14:paraId="7E900F13" w14:textId="15551104"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2.4.1</w:t>
      </w:r>
      <w:r w:rsidRPr="00B44278">
        <w:rPr>
          <w:rFonts w:ascii="Times New Roman" w:eastAsia="Times New Roman" w:hAnsi="Times New Roman" w:cs="Times New Roman"/>
          <w:sz w:val="24"/>
          <w:szCs w:val="24"/>
        </w:rPr>
        <w:tab/>
        <w:t>Phytochemicals in C</w:t>
      </w:r>
      <w:r w:rsidR="00EC0F2B" w:rsidRPr="00B44278">
        <w:rPr>
          <w:rFonts w:ascii="Times New Roman" w:eastAsia="Times New Roman" w:hAnsi="Times New Roman" w:cs="Times New Roman"/>
          <w:sz w:val="24"/>
          <w:szCs w:val="24"/>
        </w:rPr>
        <w:t>ancer Therapy</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17</w:t>
      </w:r>
    </w:p>
    <w:p w14:paraId="779F3B9E" w14:textId="2842077E"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2.4.2</w:t>
      </w:r>
      <w:r w:rsidRPr="00B44278">
        <w:rPr>
          <w:rFonts w:ascii="Times New Roman" w:eastAsia="Times New Roman" w:hAnsi="Times New Roman" w:cs="Times New Roman"/>
          <w:sz w:val="24"/>
          <w:szCs w:val="24"/>
        </w:rPr>
        <w:tab/>
        <w:t>Luteolin: Structure and Pharmacol</w:t>
      </w:r>
      <w:r w:rsidR="00EC0F2B" w:rsidRPr="00B44278">
        <w:rPr>
          <w:rFonts w:ascii="Times New Roman" w:eastAsia="Times New Roman" w:hAnsi="Times New Roman" w:cs="Times New Roman"/>
          <w:sz w:val="24"/>
          <w:szCs w:val="24"/>
        </w:rPr>
        <w:t>ogical Properties</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18</w:t>
      </w:r>
    </w:p>
    <w:p w14:paraId="32BF1602" w14:textId="3BFA6E8A"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2.5</w:t>
      </w:r>
      <w:r w:rsidRPr="00B44278">
        <w:rPr>
          <w:rFonts w:ascii="Times New Roman" w:eastAsia="Times New Roman" w:hAnsi="Times New Roman" w:cs="Times New Roman"/>
          <w:sz w:val="24"/>
          <w:szCs w:val="24"/>
        </w:rPr>
        <w:tab/>
        <w:t>Network Pharmacology in Dr</w:t>
      </w:r>
      <w:r w:rsidR="00EC0F2B" w:rsidRPr="00B44278">
        <w:rPr>
          <w:rFonts w:ascii="Times New Roman" w:eastAsia="Times New Roman" w:hAnsi="Times New Roman" w:cs="Times New Roman"/>
          <w:sz w:val="24"/>
          <w:szCs w:val="24"/>
        </w:rPr>
        <w:t>ug Discovery</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19</w:t>
      </w:r>
    </w:p>
    <w:p w14:paraId="67BC1D12" w14:textId="478C2DE0"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2.5.1 </w:t>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i/>
          <w:sz w:val="24"/>
          <w:szCs w:val="24"/>
        </w:rPr>
        <w:t>Drosophila melanogaster</w:t>
      </w:r>
      <w:r w:rsidRPr="00B44278">
        <w:rPr>
          <w:rFonts w:ascii="Times New Roman" w:eastAsia="Times New Roman" w:hAnsi="Times New Roman" w:cs="Times New Roman"/>
          <w:sz w:val="24"/>
          <w:szCs w:val="24"/>
        </w:rPr>
        <w:t xml:space="preserve"> as a Model </w:t>
      </w:r>
      <w:r w:rsidR="00EC0F2B" w:rsidRPr="00B44278">
        <w:rPr>
          <w:rFonts w:ascii="Times New Roman" w:eastAsia="Times New Roman" w:hAnsi="Times New Roman" w:cs="Times New Roman"/>
          <w:sz w:val="24"/>
          <w:szCs w:val="24"/>
        </w:rPr>
        <w:t>for Cancer Research</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22</w:t>
      </w:r>
    </w:p>
    <w:p w14:paraId="36B42D48" w14:textId="1CCE7BA3"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2.5.2</w:t>
      </w:r>
      <w:r w:rsidRPr="00B44278">
        <w:rPr>
          <w:rFonts w:ascii="Times New Roman" w:eastAsia="Times New Roman" w:hAnsi="Times New Roman" w:cs="Times New Roman"/>
          <w:sz w:val="24"/>
          <w:szCs w:val="24"/>
        </w:rPr>
        <w:tab/>
        <w:t>Advantages of Drosophila</w:t>
      </w:r>
      <w:r w:rsidR="00EC0F2B" w:rsidRPr="00B44278">
        <w:rPr>
          <w:rFonts w:ascii="Times New Roman" w:eastAsia="Times New Roman" w:hAnsi="Times New Roman" w:cs="Times New Roman"/>
          <w:sz w:val="24"/>
          <w:szCs w:val="24"/>
        </w:rPr>
        <w:t xml:space="preserve"> Models</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23</w:t>
      </w:r>
    </w:p>
    <w:p w14:paraId="3939F2A8" w14:textId="5034753F"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2.6 </w:t>
      </w:r>
      <w:r w:rsidRPr="00B44278">
        <w:rPr>
          <w:rFonts w:ascii="Times New Roman" w:eastAsia="Times New Roman" w:hAnsi="Times New Roman" w:cs="Times New Roman"/>
          <w:sz w:val="24"/>
          <w:szCs w:val="24"/>
        </w:rPr>
        <w:tab/>
        <w:t>Integration of Network Pharmacology</w:t>
      </w:r>
      <w:r w:rsidR="00EC0F2B" w:rsidRPr="00B44278">
        <w:rPr>
          <w:rFonts w:ascii="Times New Roman" w:eastAsia="Times New Roman" w:hAnsi="Times New Roman" w:cs="Times New Roman"/>
          <w:sz w:val="24"/>
          <w:szCs w:val="24"/>
        </w:rPr>
        <w:t xml:space="preserve"> and Drosophila Models</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23</w:t>
      </w:r>
    </w:p>
    <w:p w14:paraId="1F6B8570" w14:textId="3F78341F"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CHAPTER THREE</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26</w:t>
      </w:r>
    </w:p>
    <w:p w14:paraId="7AEADF38" w14:textId="6A412026"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3.0</w:t>
      </w:r>
      <w:r w:rsidRPr="00B44278">
        <w:rPr>
          <w:rFonts w:ascii="Times New Roman" w:eastAsia="Times New Roman" w:hAnsi="Times New Roman" w:cs="Times New Roman"/>
          <w:sz w:val="24"/>
          <w:szCs w:val="24"/>
        </w:rPr>
        <w:tab/>
        <w:t>MATERIALS AND</w:t>
      </w:r>
      <w:r w:rsidR="00EC0F2B" w:rsidRPr="00B44278">
        <w:rPr>
          <w:rFonts w:ascii="Times New Roman" w:eastAsia="Times New Roman" w:hAnsi="Times New Roman" w:cs="Times New Roman"/>
          <w:sz w:val="24"/>
          <w:szCs w:val="24"/>
        </w:rPr>
        <w:t xml:space="preserve"> METHODS</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26</w:t>
      </w:r>
    </w:p>
    <w:p w14:paraId="66475493" w14:textId="5B0E7151"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3.1</w:t>
      </w:r>
      <w:r w:rsidRPr="00B44278">
        <w:rPr>
          <w:rFonts w:ascii="Times New Roman" w:eastAsia="Times New Roman" w:hAnsi="Times New Roman" w:cs="Times New Roman"/>
          <w:sz w:val="24"/>
          <w:szCs w:val="24"/>
        </w:rPr>
        <w:tab/>
        <w:t>Material</w:t>
      </w:r>
      <w:r w:rsidR="00EC0F2B" w:rsidRPr="00B44278">
        <w:rPr>
          <w:rFonts w:ascii="Times New Roman" w:eastAsia="Times New Roman" w:hAnsi="Times New Roman" w:cs="Times New Roman"/>
          <w:sz w:val="24"/>
          <w:szCs w:val="24"/>
        </w:rPr>
        <w:t>s</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26</w:t>
      </w:r>
      <w:r w:rsidR="00052AB6" w:rsidRPr="00B44278">
        <w:rPr>
          <w:rFonts w:ascii="Times New Roman" w:eastAsia="Times New Roman" w:hAnsi="Times New Roman" w:cs="Times New Roman"/>
          <w:sz w:val="24"/>
          <w:szCs w:val="24"/>
        </w:rPr>
        <w:tab/>
      </w:r>
    </w:p>
    <w:p w14:paraId="59846E28" w14:textId="5DF9EADD"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3.2</w:t>
      </w:r>
      <w:r w:rsidRPr="00B44278">
        <w:rPr>
          <w:rFonts w:ascii="Times New Roman" w:eastAsia="Times New Roman" w:hAnsi="Times New Roman" w:cs="Times New Roman"/>
          <w:sz w:val="24"/>
          <w:szCs w:val="24"/>
        </w:rPr>
        <w:tab/>
        <w:t>Methods</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26</w:t>
      </w:r>
    </w:p>
    <w:p w14:paraId="4882DDCE" w14:textId="2F026A20"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3.2.1</w:t>
      </w:r>
      <w:r w:rsidRPr="00B44278">
        <w:rPr>
          <w:rFonts w:ascii="Times New Roman" w:eastAsia="Times New Roman" w:hAnsi="Times New Roman" w:cs="Times New Roman"/>
          <w:sz w:val="24"/>
          <w:szCs w:val="24"/>
        </w:rPr>
        <w:tab/>
        <w:t>Luteolin Retrieval and Target</w:t>
      </w:r>
      <w:r w:rsidR="00EC0F2B" w:rsidRPr="00B44278">
        <w:rPr>
          <w:rFonts w:ascii="Times New Roman" w:eastAsia="Times New Roman" w:hAnsi="Times New Roman" w:cs="Times New Roman"/>
          <w:sz w:val="24"/>
          <w:szCs w:val="24"/>
        </w:rPr>
        <w:t xml:space="preserve"> Prediction</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26</w:t>
      </w:r>
    </w:p>
    <w:p w14:paraId="5F84098A" w14:textId="5466A656"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3.2.2</w:t>
      </w:r>
      <w:r w:rsidRPr="00B44278">
        <w:rPr>
          <w:rFonts w:ascii="Times New Roman" w:eastAsia="Times New Roman" w:hAnsi="Times New Roman" w:cs="Times New Roman"/>
          <w:sz w:val="24"/>
          <w:szCs w:val="24"/>
        </w:rPr>
        <w:tab/>
        <w:t>Identification of Colorectal Canc</w:t>
      </w:r>
      <w:r w:rsidR="00EC0F2B" w:rsidRPr="00B44278">
        <w:rPr>
          <w:rFonts w:ascii="Times New Roman" w:eastAsia="Times New Roman" w:hAnsi="Times New Roman" w:cs="Times New Roman"/>
          <w:sz w:val="24"/>
          <w:szCs w:val="24"/>
        </w:rPr>
        <w:t>er–Related Targets</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27</w:t>
      </w:r>
    </w:p>
    <w:p w14:paraId="676EEDF0" w14:textId="2C6478E4"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3.3</w:t>
      </w:r>
      <w:r w:rsidRPr="00B44278">
        <w:rPr>
          <w:rFonts w:ascii="Times New Roman" w:eastAsia="Times New Roman" w:hAnsi="Times New Roman" w:cs="Times New Roman"/>
          <w:sz w:val="24"/>
          <w:szCs w:val="24"/>
        </w:rPr>
        <w:tab/>
        <w:t>Protein–Protein Interaction (PPI) Networ</w:t>
      </w:r>
      <w:r w:rsidR="00EC0F2B" w:rsidRPr="00B44278">
        <w:rPr>
          <w:rFonts w:ascii="Times New Roman" w:eastAsia="Times New Roman" w:hAnsi="Times New Roman" w:cs="Times New Roman"/>
          <w:sz w:val="24"/>
          <w:szCs w:val="24"/>
        </w:rPr>
        <w:t>k and Hub Gene Analysis</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Pr="00B44278">
        <w:rPr>
          <w:rFonts w:ascii="Times New Roman" w:eastAsia="Times New Roman" w:hAnsi="Times New Roman" w:cs="Times New Roman"/>
          <w:sz w:val="24"/>
          <w:szCs w:val="24"/>
        </w:rPr>
        <w:t>27</w:t>
      </w:r>
    </w:p>
    <w:p w14:paraId="25AB053A" w14:textId="049E6436"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lastRenderedPageBreak/>
        <w:t>3.4</w:t>
      </w:r>
      <w:r w:rsidRPr="00B44278">
        <w:rPr>
          <w:rFonts w:ascii="Times New Roman" w:eastAsia="Times New Roman" w:hAnsi="Times New Roman" w:cs="Times New Roman"/>
          <w:sz w:val="24"/>
          <w:szCs w:val="24"/>
        </w:rPr>
        <w:tab/>
        <w:t>Functional Enrichment and Pat</w:t>
      </w:r>
      <w:r w:rsidR="00EC0F2B" w:rsidRPr="00B44278">
        <w:rPr>
          <w:rFonts w:ascii="Times New Roman" w:eastAsia="Times New Roman" w:hAnsi="Times New Roman" w:cs="Times New Roman"/>
          <w:sz w:val="24"/>
          <w:szCs w:val="24"/>
        </w:rPr>
        <w:t>hway Analysis</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00052AB6" w:rsidRPr="00B44278">
        <w:rPr>
          <w:rFonts w:ascii="Times New Roman" w:eastAsia="Times New Roman" w:hAnsi="Times New Roman" w:cs="Times New Roman"/>
          <w:sz w:val="24"/>
          <w:szCs w:val="24"/>
        </w:rPr>
        <w:tab/>
      </w:r>
      <w:r w:rsidR="001D6C4D" w:rsidRPr="00B44278">
        <w:rPr>
          <w:rFonts w:ascii="Times New Roman" w:eastAsia="Times New Roman" w:hAnsi="Times New Roman" w:cs="Times New Roman"/>
          <w:sz w:val="24"/>
          <w:szCs w:val="24"/>
        </w:rPr>
        <w:t>2</w:t>
      </w:r>
      <w:r w:rsidRPr="00B44278">
        <w:rPr>
          <w:rFonts w:ascii="Times New Roman" w:eastAsia="Times New Roman" w:hAnsi="Times New Roman" w:cs="Times New Roman"/>
          <w:sz w:val="24"/>
          <w:szCs w:val="24"/>
        </w:rPr>
        <w:t>9</w:t>
      </w:r>
    </w:p>
    <w:p w14:paraId="2CF45145" w14:textId="16D50145"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3.5</w:t>
      </w:r>
      <w:r w:rsidRPr="00B44278">
        <w:rPr>
          <w:rFonts w:ascii="Times New Roman" w:eastAsia="Times New Roman" w:hAnsi="Times New Roman" w:cs="Times New Roman"/>
          <w:sz w:val="24"/>
          <w:szCs w:val="24"/>
        </w:rPr>
        <w:tab/>
        <w:t>Network Construction and Vi</w:t>
      </w:r>
      <w:r w:rsidR="00EC0F2B" w:rsidRPr="00B44278">
        <w:rPr>
          <w:rFonts w:ascii="Times New Roman" w:eastAsia="Times New Roman" w:hAnsi="Times New Roman" w:cs="Times New Roman"/>
          <w:sz w:val="24"/>
          <w:szCs w:val="24"/>
        </w:rPr>
        <w:t>sualization</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00052AB6"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29</w:t>
      </w:r>
    </w:p>
    <w:p w14:paraId="33DE9DAF" w14:textId="1A750888"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3.6</w:t>
      </w:r>
      <w:r w:rsidRPr="00B44278">
        <w:rPr>
          <w:rFonts w:ascii="Times New Roman" w:eastAsia="Times New Roman" w:hAnsi="Times New Roman" w:cs="Times New Roman"/>
          <w:sz w:val="24"/>
          <w:szCs w:val="24"/>
        </w:rPr>
        <w:tab/>
        <w:t>Molecular Docking and Dynamic</w:t>
      </w:r>
      <w:r w:rsidR="00EC0F2B" w:rsidRPr="00B44278">
        <w:rPr>
          <w:rFonts w:ascii="Times New Roman" w:eastAsia="Times New Roman" w:hAnsi="Times New Roman" w:cs="Times New Roman"/>
          <w:sz w:val="24"/>
          <w:szCs w:val="24"/>
        </w:rPr>
        <w:t>s Simulation</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00052AB6" w:rsidRPr="00B44278">
        <w:rPr>
          <w:rFonts w:ascii="Times New Roman" w:eastAsia="Times New Roman" w:hAnsi="Times New Roman" w:cs="Times New Roman"/>
          <w:sz w:val="24"/>
          <w:szCs w:val="24"/>
        </w:rPr>
        <w:tab/>
      </w:r>
      <w:r w:rsidR="001D6C4D" w:rsidRPr="00B44278">
        <w:rPr>
          <w:rFonts w:ascii="Times New Roman" w:eastAsia="Times New Roman" w:hAnsi="Times New Roman" w:cs="Times New Roman"/>
          <w:sz w:val="24"/>
          <w:szCs w:val="24"/>
        </w:rPr>
        <w:t>30</w:t>
      </w:r>
    </w:p>
    <w:p w14:paraId="7E53FF56" w14:textId="24EFB164"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3.7</w:t>
      </w:r>
      <w:r w:rsidRPr="00B44278">
        <w:rPr>
          <w:rFonts w:ascii="Times New Roman" w:eastAsia="Times New Roman" w:hAnsi="Times New Roman" w:cs="Times New Roman"/>
          <w:sz w:val="24"/>
          <w:szCs w:val="24"/>
        </w:rPr>
        <w:tab/>
        <w:t>Software and Statistical Analys</w:t>
      </w:r>
      <w:r w:rsidR="00EC0F2B" w:rsidRPr="00B44278">
        <w:rPr>
          <w:rFonts w:ascii="Times New Roman" w:eastAsia="Times New Roman" w:hAnsi="Times New Roman" w:cs="Times New Roman"/>
          <w:sz w:val="24"/>
          <w:szCs w:val="24"/>
        </w:rPr>
        <w:t>is</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00052AB6"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31</w:t>
      </w:r>
    </w:p>
    <w:p w14:paraId="7777925B" w14:textId="02918D8B"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3.8</w:t>
      </w:r>
      <w:r w:rsidRPr="00B44278">
        <w:rPr>
          <w:rFonts w:ascii="Times New Roman" w:eastAsia="Times New Roman" w:hAnsi="Times New Roman" w:cs="Times New Roman"/>
          <w:sz w:val="24"/>
          <w:szCs w:val="24"/>
        </w:rPr>
        <w:tab/>
      </w:r>
      <w:r w:rsidR="000644BF" w:rsidRPr="00B44278">
        <w:rPr>
          <w:rFonts w:ascii="Times New Roman" w:eastAsia="Times New Roman" w:hAnsi="Times New Roman" w:cs="Times New Roman"/>
          <w:i/>
          <w:sz w:val="24"/>
          <w:szCs w:val="24"/>
        </w:rPr>
        <w:t>In vivo</w:t>
      </w:r>
      <w:r w:rsidRPr="00B44278">
        <w:rPr>
          <w:rFonts w:ascii="Times New Roman" w:eastAsia="Times New Roman" w:hAnsi="Times New Roman" w:cs="Times New Roman"/>
          <w:sz w:val="24"/>
          <w:szCs w:val="24"/>
        </w:rPr>
        <w:t xml:space="preserve"> Study D</w:t>
      </w:r>
      <w:r w:rsidR="00EC0F2B" w:rsidRPr="00B44278">
        <w:rPr>
          <w:rFonts w:ascii="Times New Roman" w:eastAsia="Times New Roman" w:hAnsi="Times New Roman" w:cs="Times New Roman"/>
          <w:sz w:val="24"/>
          <w:szCs w:val="24"/>
        </w:rPr>
        <w:t>esign</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00052AB6"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31</w:t>
      </w:r>
    </w:p>
    <w:p w14:paraId="4136A0AC" w14:textId="013C54E5"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3.9</w:t>
      </w:r>
      <w:r w:rsidRPr="00B44278">
        <w:rPr>
          <w:rFonts w:ascii="Times New Roman" w:eastAsia="Times New Roman" w:hAnsi="Times New Roman" w:cs="Times New Roman"/>
          <w:sz w:val="24"/>
          <w:szCs w:val="24"/>
        </w:rPr>
        <w:tab/>
        <w:t>Study Locatio</w:t>
      </w:r>
      <w:r w:rsidR="00EC0F2B" w:rsidRPr="00B44278">
        <w:rPr>
          <w:rFonts w:ascii="Times New Roman" w:eastAsia="Times New Roman" w:hAnsi="Times New Roman" w:cs="Times New Roman"/>
          <w:sz w:val="24"/>
          <w:szCs w:val="24"/>
        </w:rPr>
        <w:t>n</w:t>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r>
      <w:r w:rsidR="00EC0F2B" w:rsidRPr="00B44278">
        <w:rPr>
          <w:rFonts w:ascii="Times New Roman" w:eastAsia="Times New Roman" w:hAnsi="Times New Roman" w:cs="Times New Roman"/>
          <w:sz w:val="24"/>
          <w:szCs w:val="24"/>
        </w:rPr>
        <w:tab/>
        <w:t xml:space="preserve">    </w:t>
      </w:r>
      <w:r w:rsidR="00052AB6"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31</w:t>
      </w:r>
    </w:p>
    <w:p w14:paraId="67BECAD0" w14:textId="0C99BEE0"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3.10</w:t>
      </w:r>
      <w:r w:rsidRPr="00B44278">
        <w:rPr>
          <w:rFonts w:ascii="Times New Roman" w:eastAsia="Times New Roman" w:hAnsi="Times New Roman" w:cs="Times New Roman"/>
          <w:sz w:val="24"/>
          <w:szCs w:val="24"/>
        </w:rPr>
        <w:tab/>
        <w:t>Drosophila Stock and Cult</w:t>
      </w:r>
      <w:r w:rsidR="008D6ABD" w:rsidRPr="00B44278">
        <w:rPr>
          <w:rFonts w:ascii="Times New Roman" w:eastAsia="Times New Roman" w:hAnsi="Times New Roman" w:cs="Times New Roman"/>
          <w:sz w:val="24"/>
          <w:szCs w:val="24"/>
        </w:rPr>
        <w:t>ure</w:t>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t xml:space="preserve">    </w:t>
      </w:r>
      <w:r w:rsidR="00052AB6"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31</w:t>
      </w:r>
    </w:p>
    <w:p w14:paraId="1D776FB9" w14:textId="6F3CDA90"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3.11</w:t>
      </w:r>
      <w:r w:rsidRPr="00B44278">
        <w:rPr>
          <w:rFonts w:ascii="Times New Roman" w:eastAsia="Times New Roman" w:hAnsi="Times New Roman" w:cs="Times New Roman"/>
          <w:sz w:val="24"/>
          <w:szCs w:val="24"/>
        </w:rPr>
        <w:tab/>
        <w:t>Corn Meal Preparati</w:t>
      </w:r>
      <w:r w:rsidR="008D6ABD" w:rsidRPr="00B44278">
        <w:rPr>
          <w:rFonts w:ascii="Times New Roman" w:eastAsia="Times New Roman" w:hAnsi="Times New Roman" w:cs="Times New Roman"/>
          <w:sz w:val="24"/>
          <w:szCs w:val="24"/>
        </w:rPr>
        <w:t>on</w:t>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t xml:space="preserve">    </w:t>
      </w:r>
      <w:r w:rsidR="00052AB6" w:rsidRPr="00B44278">
        <w:rPr>
          <w:rFonts w:ascii="Times New Roman" w:eastAsia="Times New Roman" w:hAnsi="Times New Roman" w:cs="Times New Roman"/>
          <w:sz w:val="24"/>
          <w:szCs w:val="24"/>
        </w:rPr>
        <w:tab/>
      </w:r>
      <w:r w:rsidR="00E04D74" w:rsidRPr="00B44278">
        <w:rPr>
          <w:rFonts w:ascii="Times New Roman" w:eastAsia="Times New Roman" w:hAnsi="Times New Roman" w:cs="Times New Roman"/>
          <w:sz w:val="24"/>
          <w:szCs w:val="24"/>
        </w:rPr>
        <w:t>32</w:t>
      </w:r>
    </w:p>
    <w:p w14:paraId="0A05BDBD" w14:textId="6A30DA8A"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3.12</w:t>
      </w:r>
      <w:r w:rsidRPr="00B44278">
        <w:rPr>
          <w:rFonts w:ascii="Times New Roman" w:eastAsia="Times New Roman" w:hAnsi="Times New Roman" w:cs="Times New Roman"/>
          <w:sz w:val="24"/>
          <w:szCs w:val="24"/>
        </w:rPr>
        <w:tab/>
        <w:t xml:space="preserve">Sacrifice and Total PolyA </w:t>
      </w:r>
      <w:r w:rsidR="008D6ABD" w:rsidRPr="00B44278">
        <w:rPr>
          <w:rFonts w:ascii="Times New Roman" w:eastAsia="Times New Roman" w:hAnsi="Times New Roman" w:cs="Times New Roman"/>
          <w:sz w:val="24"/>
          <w:szCs w:val="24"/>
        </w:rPr>
        <w:t>RNA Isolation</w:t>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t xml:space="preserve">    </w:t>
      </w:r>
      <w:r w:rsidR="00052AB6"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32</w:t>
      </w:r>
    </w:p>
    <w:p w14:paraId="194CB19C" w14:textId="5E080D27"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3.13</w:t>
      </w:r>
      <w:r w:rsidRPr="00B44278">
        <w:rPr>
          <w:rFonts w:ascii="Times New Roman" w:eastAsia="Times New Roman" w:hAnsi="Times New Roman" w:cs="Times New Roman"/>
          <w:sz w:val="24"/>
          <w:szCs w:val="24"/>
        </w:rPr>
        <w:tab/>
        <w:t>cDNA Synthe</w:t>
      </w:r>
      <w:r w:rsidR="008D6ABD" w:rsidRPr="00B44278">
        <w:rPr>
          <w:rFonts w:ascii="Times New Roman" w:eastAsia="Times New Roman" w:hAnsi="Times New Roman" w:cs="Times New Roman"/>
          <w:sz w:val="24"/>
          <w:szCs w:val="24"/>
        </w:rPr>
        <w:t>sis</w:t>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t xml:space="preserve">    </w:t>
      </w:r>
      <w:r w:rsidR="00052AB6"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32</w:t>
      </w:r>
    </w:p>
    <w:p w14:paraId="2E467F1F" w14:textId="2D34CF79"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3.14</w:t>
      </w:r>
      <w:r w:rsidRPr="00B44278">
        <w:rPr>
          <w:rFonts w:ascii="Times New Roman" w:eastAsia="Times New Roman" w:hAnsi="Times New Roman" w:cs="Times New Roman"/>
          <w:sz w:val="24"/>
          <w:szCs w:val="24"/>
        </w:rPr>
        <w:tab/>
        <w:t>PCR Amplification and Agarose Gel E</w:t>
      </w:r>
      <w:r w:rsidR="008D6ABD" w:rsidRPr="00B44278">
        <w:rPr>
          <w:rFonts w:ascii="Times New Roman" w:eastAsia="Times New Roman" w:hAnsi="Times New Roman" w:cs="Times New Roman"/>
          <w:sz w:val="24"/>
          <w:szCs w:val="24"/>
        </w:rPr>
        <w:t>lectrophoresis</w:t>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t xml:space="preserve">    </w:t>
      </w:r>
      <w:r w:rsidR="00052AB6" w:rsidRPr="00B44278">
        <w:rPr>
          <w:rFonts w:ascii="Times New Roman" w:eastAsia="Times New Roman" w:hAnsi="Times New Roman" w:cs="Times New Roman"/>
          <w:sz w:val="24"/>
          <w:szCs w:val="24"/>
        </w:rPr>
        <w:tab/>
      </w:r>
      <w:r w:rsidR="00E04D74" w:rsidRPr="00B44278">
        <w:rPr>
          <w:rFonts w:ascii="Times New Roman" w:eastAsia="Times New Roman" w:hAnsi="Times New Roman" w:cs="Times New Roman"/>
          <w:sz w:val="24"/>
          <w:szCs w:val="24"/>
        </w:rPr>
        <w:t>33</w:t>
      </w:r>
    </w:p>
    <w:p w14:paraId="61878CBF" w14:textId="0A87918A" w:rsidR="00F76E75" w:rsidRPr="00B44278" w:rsidRDefault="00F76E75" w:rsidP="00F76E7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3.15</w:t>
      </w:r>
      <w:r w:rsidRPr="00B44278">
        <w:rPr>
          <w:rFonts w:ascii="Times New Roman" w:eastAsia="Times New Roman" w:hAnsi="Times New Roman" w:cs="Times New Roman"/>
          <w:sz w:val="24"/>
          <w:szCs w:val="24"/>
        </w:rPr>
        <w:tab/>
        <w:t>Gel Cl</w:t>
      </w:r>
      <w:r w:rsidR="008D6ABD" w:rsidRPr="00B44278">
        <w:rPr>
          <w:rFonts w:ascii="Times New Roman" w:eastAsia="Times New Roman" w:hAnsi="Times New Roman" w:cs="Times New Roman"/>
          <w:sz w:val="24"/>
          <w:szCs w:val="24"/>
        </w:rPr>
        <w:t>eaning and Number Generation</w:t>
      </w:r>
      <w:r w:rsidR="00052AB6" w:rsidRPr="00B44278">
        <w:rPr>
          <w:rFonts w:ascii="Times New Roman" w:eastAsia="Times New Roman" w:hAnsi="Times New Roman" w:cs="Times New Roman"/>
          <w:sz w:val="24"/>
          <w:szCs w:val="24"/>
        </w:rPr>
        <w:tab/>
      </w:r>
      <w:r w:rsidR="00052AB6" w:rsidRPr="00B44278">
        <w:rPr>
          <w:rFonts w:ascii="Times New Roman" w:eastAsia="Times New Roman" w:hAnsi="Times New Roman" w:cs="Times New Roman"/>
          <w:sz w:val="24"/>
          <w:szCs w:val="24"/>
        </w:rPr>
        <w:tab/>
      </w:r>
      <w:r w:rsidR="00052AB6" w:rsidRPr="00B44278">
        <w:rPr>
          <w:rFonts w:ascii="Times New Roman" w:eastAsia="Times New Roman" w:hAnsi="Times New Roman" w:cs="Times New Roman"/>
          <w:sz w:val="24"/>
          <w:szCs w:val="24"/>
        </w:rPr>
        <w:tab/>
      </w:r>
      <w:r w:rsidR="00052AB6" w:rsidRPr="00B44278">
        <w:rPr>
          <w:rFonts w:ascii="Times New Roman" w:eastAsia="Times New Roman" w:hAnsi="Times New Roman" w:cs="Times New Roman"/>
          <w:sz w:val="24"/>
          <w:szCs w:val="24"/>
        </w:rPr>
        <w:tab/>
      </w:r>
      <w:r w:rsidR="00052AB6" w:rsidRPr="00B44278">
        <w:rPr>
          <w:rFonts w:ascii="Times New Roman" w:eastAsia="Times New Roman" w:hAnsi="Times New Roman" w:cs="Times New Roman"/>
          <w:sz w:val="24"/>
          <w:szCs w:val="24"/>
        </w:rPr>
        <w:tab/>
        <w:t xml:space="preserve">  </w:t>
      </w:r>
      <w:r w:rsidR="00052AB6"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 xml:space="preserve"> </w:t>
      </w:r>
      <w:r w:rsidRPr="00B44278">
        <w:rPr>
          <w:rFonts w:ascii="Times New Roman" w:eastAsia="Times New Roman" w:hAnsi="Times New Roman" w:cs="Times New Roman"/>
          <w:sz w:val="24"/>
          <w:szCs w:val="24"/>
        </w:rPr>
        <w:t>33</w:t>
      </w:r>
    </w:p>
    <w:p w14:paraId="49C346E5" w14:textId="39675A4B" w:rsidR="00052AB6" w:rsidRPr="00B44278" w:rsidRDefault="008D6ABD" w:rsidP="002B480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CHAPTER FOUR</w:t>
      </w:r>
      <w:r w:rsidR="00052AB6" w:rsidRPr="00B44278">
        <w:rPr>
          <w:rFonts w:ascii="Times New Roman" w:eastAsia="Times New Roman" w:hAnsi="Times New Roman" w:cs="Times New Roman"/>
          <w:sz w:val="24"/>
          <w:szCs w:val="24"/>
        </w:rPr>
        <w:tab/>
      </w:r>
      <w:r w:rsidR="00052AB6" w:rsidRPr="00B44278">
        <w:rPr>
          <w:rFonts w:ascii="Times New Roman" w:eastAsia="Times New Roman" w:hAnsi="Times New Roman" w:cs="Times New Roman"/>
          <w:sz w:val="24"/>
          <w:szCs w:val="24"/>
        </w:rPr>
        <w:tab/>
      </w:r>
      <w:r w:rsidR="00052AB6" w:rsidRPr="00B44278">
        <w:rPr>
          <w:rFonts w:ascii="Times New Roman" w:eastAsia="Times New Roman" w:hAnsi="Times New Roman" w:cs="Times New Roman"/>
          <w:sz w:val="24"/>
          <w:szCs w:val="24"/>
        </w:rPr>
        <w:tab/>
      </w:r>
      <w:r w:rsidR="00052AB6" w:rsidRPr="00B44278">
        <w:rPr>
          <w:rFonts w:ascii="Times New Roman" w:eastAsia="Times New Roman" w:hAnsi="Times New Roman" w:cs="Times New Roman"/>
          <w:sz w:val="24"/>
          <w:szCs w:val="24"/>
        </w:rPr>
        <w:tab/>
      </w:r>
      <w:r w:rsidR="00052AB6" w:rsidRPr="00B44278">
        <w:rPr>
          <w:rFonts w:ascii="Times New Roman" w:eastAsia="Times New Roman" w:hAnsi="Times New Roman" w:cs="Times New Roman"/>
          <w:sz w:val="24"/>
          <w:szCs w:val="24"/>
        </w:rPr>
        <w:tab/>
      </w:r>
      <w:r w:rsidR="00052AB6" w:rsidRPr="00B44278">
        <w:rPr>
          <w:rFonts w:ascii="Times New Roman" w:eastAsia="Times New Roman" w:hAnsi="Times New Roman" w:cs="Times New Roman"/>
          <w:sz w:val="24"/>
          <w:szCs w:val="24"/>
        </w:rPr>
        <w:tab/>
      </w:r>
      <w:r w:rsidR="00052AB6" w:rsidRPr="00B44278">
        <w:rPr>
          <w:rFonts w:ascii="Times New Roman" w:eastAsia="Times New Roman" w:hAnsi="Times New Roman" w:cs="Times New Roman"/>
          <w:sz w:val="24"/>
          <w:szCs w:val="24"/>
        </w:rPr>
        <w:tab/>
      </w:r>
      <w:r w:rsidR="00052AB6" w:rsidRPr="00B44278">
        <w:rPr>
          <w:rFonts w:ascii="Times New Roman" w:eastAsia="Times New Roman" w:hAnsi="Times New Roman" w:cs="Times New Roman"/>
          <w:sz w:val="24"/>
          <w:szCs w:val="24"/>
        </w:rPr>
        <w:tab/>
      </w:r>
      <w:r w:rsidR="00052AB6"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 xml:space="preserve">  </w:t>
      </w:r>
      <w:r w:rsidR="00052AB6" w:rsidRPr="00B44278">
        <w:rPr>
          <w:rFonts w:ascii="Times New Roman" w:eastAsia="Times New Roman" w:hAnsi="Times New Roman" w:cs="Times New Roman"/>
          <w:sz w:val="24"/>
          <w:szCs w:val="24"/>
        </w:rPr>
        <w:tab/>
      </w:r>
      <w:r w:rsidR="00904F69" w:rsidRPr="00B44278">
        <w:rPr>
          <w:rFonts w:ascii="Times New Roman" w:eastAsia="Times New Roman" w:hAnsi="Times New Roman" w:cs="Times New Roman"/>
          <w:sz w:val="24"/>
          <w:szCs w:val="24"/>
        </w:rPr>
        <w:t xml:space="preserve"> </w:t>
      </w:r>
      <w:r w:rsidR="00501C10" w:rsidRPr="00B44278">
        <w:rPr>
          <w:rFonts w:ascii="Times New Roman" w:eastAsia="Times New Roman" w:hAnsi="Times New Roman" w:cs="Times New Roman"/>
          <w:sz w:val="24"/>
          <w:szCs w:val="24"/>
        </w:rPr>
        <w:t>35</w:t>
      </w:r>
    </w:p>
    <w:p w14:paraId="495E6317" w14:textId="0DE71BB9" w:rsidR="002B4805" w:rsidRPr="00B44278" w:rsidRDefault="00904F69" w:rsidP="002B4805">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 </w:t>
      </w:r>
      <w:r w:rsidR="002B4805" w:rsidRPr="00B44278">
        <w:rPr>
          <w:rFonts w:ascii="Times New Roman" w:eastAsia="Times New Roman" w:hAnsi="Times New Roman" w:cs="Times New Roman"/>
          <w:sz w:val="24"/>
          <w:szCs w:val="24"/>
        </w:rPr>
        <w:t>4.0</w:t>
      </w:r>
      <w:r w:rsidR="002B4805" w:rsidRPr="00B44278">
        <w:rPr>
          <w:rFonts w:ascii="Times New Roman" w:eastAsia="Times New Roman" w:hAnsi="Times New Roman" w:cs="Times New Roman"/>
          <w:sz w:val="24"/>
          <w:szCs w:val="24"/>
        </w:rPr>
        <w:tab/>
        <w:t>RESULTS AND DISCUSSION</w:t>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t xml:space="preserve">            </w:t>
      </w:r>
      <w:r w:rsidR="00052AB6" w:rsidRPr="00B44278">
        <w:rPr>
          <w:rFonts w:ascii="Times New Roman" w:eastAsia="Times New Roman" w:hAnsi="Times New Roman" w:cs="Times New Roman"/>
          <w:sz w:val="24"/>
          <w:szCs w:val="24"/>
        </w:rPr>
        <w:t xml:space="preserve"> </w:t>
      </w:r>
      <w:r w:rsidR="00501C10" w:rsidRPr="00B44278">
        <w:rPr>
          <w:rFonts w:ascii="Times New Roman" w:eastAsia="Times New Roman" w:hAnsi="Times New Roman" w:cs="Times New Roman"/>
          <w:sz w:val="24"/>
          <w:szCs w:val="24"/>
        </w:rPr>
        <w:t>35</w:t>
      </w:r>
    </w:p>
    <w:p w14:paraId="6BD1F494" w14:textId="6F6D12DD" w:rsidR="00501C10" w:rsidRPr="00B44278" w:rsidRDefault="00501C10" w:rsidP="00501C10">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4.1</w:t>
      </w:r>
      <w:r w:rsidRPr="00B44278">
        <w:rPr>
          <w:rFonts w:ascii="Times New Roman" w:eastAsia="Times New Roman" w:hAnsi="Times New Roman" w:cs="Times New Roman"/>
          <w:sz w:val="24"/>
          <w:szCs w:val="24"/>
        </w:rPr>
        <w:tab/>
        <w:t>Network pharmacology, molecular docking, and molecular dynamic simulation</w:t>
      </w:r>
      <w:r w:rsidR="008D6ABD" w:rsidRPr="00B44278">
        <w:rPr>
          <w:rFonts w:ascii="Times New Roman" w:eastAsia="Times New Roman" w:hAnsi="Times New Roman" w:cs="Times New Roman"/>
          <w:sz w:val="24"/>
          <w:szCs w:val="24"/>
        </w:rPr>
        <w:t xml:space="preserve">     </w:t>
      </w:r>
      <w:r w:rsidRPr="00B44278">
        <w:rPr>
          <w:rFonts w:ascii="Times New Roman" w:eastAsia="Times New Roman" w:hAnsi="Times New Roman" w:cs="Times New Roman"/>
          <w:sz w:val="24"/>
          <w:szCs w:val="24"/>
        </w:rPr>
        <w:t>35</w:t>
      </w:r>
    </w:p>
    <w:p w14:paraId="70A0C8AD" w14:textId="6CD38DC3" w:rsidR="00501C10" w:rsidRPr="00B44278" w:rsidRDefault="00501C10" w:rsidP="00501C10">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4.2</w:t>
      </w:r>
      <w:r w:rsidRPr="00B44278">
        <w:rPr>
          <w:rFonts w:ascii="Times New Roman" w:eastAsia="Times New Roman" w:hAnsi="Times New Roman" w:cs="Times New Roman"/>
          <w:sz w:val="24"/>
          <w:szCs w:val="24"/>
        </w:rPr>
        <w:tab/>
        <w:t>mRNA expression and qPCR quantification</w:t>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 xml:space="preserve">53 </w:t>
      </w:r>
    </w:p>
    <w:p w14:paraId="633F8743" w14:textId="0D5977DC" w:rsidR="00501C10" w:rsidRPr="00B44278" w:rsidRDefault="00501C10" w:rsidP="00501C10">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4.3</w:t>
      </w:r>
      <w:r w:rsidRPr="00B44278">
        <w:rPr>
          <w:rFonts w:ascii="Times New Roman" w:eastAsia="Times New Roman" w:hAnsi="Times New Roman" w:cs="Times New Roman"/>
          <w:sz w:val="24"/>
          <w:szCs w:val="24"/>
        </w:rPr>
        <w:tab/>
        <w:t>Discussion</w:t>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63</w:t>
      </w:r>
    </w:p>
    <w:p w14:paraId="23604D01" w14:textId="11C55712" w:rsidR="00501C10" w:rsidRPr="00B44278" w:rsidRDefault="008D6ABD" w:rsidP="00501C10">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CHAPTER FIVE</w:t>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00501C10" w:rsidRPr="00B44278">
        <w:rPr>
          <w:rFonts w:ascii="Times New Roman" w:eastAsia="Times New Roman" w:hAnsi="Times New Roman" w:cs="Times New Roman"/>
          <w:sz w:val="24"/>
          <w:szCs w:val="24"/>
        </w:rPr>
        <w:t>68</w:t>
      </w:r>
    </w:p>
    <w:p w14:paraId="4076E0C7" w14:textId="4AE99A9A" w:rsidR="00501C10" w:rsidRPr="00B44278" w:rsidRDefault="00501C10" w:rsidP="00501C10">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5.0</w:t>
      </w:r>
      <w:r w:rsidRPr="00B44278">
        <w:rPr>
          <w:rFonts w:ascii="Times New Roman" w:eastAsia="Times New Roman" w:hAnsi="Times New Roman" w:cs="Times New Roman"/>
          <w:sz w:val="24"/>
          <w:szCs w:val="24"/>
        </w:rPr>
        <w:tab/>
        <w:t>SUMMARY, CONCLUSIO</w:t>
      </w:r>
      <w:r w:rsidR="008D6ABD" w:rsidRPr="00B44278">
        <w:rPr>
          <w:rFonts w:ascii="Times New Roman" w:eastAsia="Times New Roman" w:hAnsi="Times New Roman" w:cs="Times New Roman"/>
          <w:sz w:val="24"/>
          <w:szCs w:val="24"/>
        </w:rPr>
        <w:t>N, AND RECOMMENDATION</w:t>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68</w:t>
      </w:r>
    </w:p>
    <w:p w14:paraId="2B99FBB9" w14:textId="7B84A80C" w:rsidR="00501C10" w:rsidRPr="00B44278" w:rsidRDefault="00501C10" w:rsidP="00501C10">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5.1 </w:t>
      </w:r>
      <w:r w:rsidRPr="00B44278">
        <w:rPr>
          <w:rFonts w:ascii="Times New Roman" w:eastAsia="Times New Roman" w:hAnsi="Times New Roman" w:cs="Times New Roman"/>
          <w:sz w:val="24"/>
          <w:szCs w:val="24"/>
        </w:rPr>
        <w:tab/>
        <w:t>Summar</w:t>
      </w:r>
      <w:r w:rsidR="008D6ABD" w:rsidRPr="00B44278">
        <w:rPr>
          <w:rFonts w:ascii="Times New Roman" w:eastAsia="Times New Roman" w:hAnsi="Times New Roman" w:cs="Times New Roman"/>
          <w:sz w:val="24"/>
          <w:szCs w:val="24"/>
        </w:rPr>
        <w:t>y</w:t>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68</w:t>
      </w:r>
    </w:p>
    <w:p w14:paraId="4D5AC258" w14:textId="1ADF77E1" w:rsidR="00501C10" w:rsidRPr="00B44278" w:rsidRDefault="008D6ABD" w:rsidP="00501C10">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lastRenderedPageBreak/>
        <w:t>5.2</w:t>
      </w:r>
      <w:r w:rsidRPr="00B44278">
        <w:rPr>
          <w:rFonts w:ascii="Times New Roman" w:eastAsia="Times New Roman" w:hAnsi="Times New Roman" w:cs="Times New Roman"/>
          <w:sz w:val="24"/>
          <w:szCs w:val="24"/>
        </w:rPr>
        <w:tab/>
        <w:t>Conclusion</w:t>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ab/>
      </w:r>
      <w:r w:rsidR="00501C10" w:rsidRPr="00B44278">
        <w:rPr>
          <w:rFonts w:ascii="Times New Roman" w:eastAsia="Times New Roman" w:hAnsi="Times New Roman" w:cs="Times New Roman"/>
          <w:sz w:val="24"/>
          <w:szCs w:val="24"/>
        </w:rPr>
        <w:t>69</w:t>
      </w:r>
    </w:p>
    <w:p w14:paraId="2DDE9784" w14:textId="6AC13257" w:rsidR="00501C10" w:rsidRPr="00B44278" w:rsidRDefault="00501C10" w:rsidP="00501C10">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5.3</w:t>
      </w:r>
      <w:r w:rsidRPr="00B44278">
        <w:rPr>
          <w:rFonts w:ascii="Times New Roman" w:eastAsia="Times New Roman" w:hAnsi="Times New Roman" w:cs="Times New Roman"/>
          <w:sz w:val="24"/>
          <w:szCs w:val="24"/>
        </w:rPr>
        <w:tab/>
        <w:t>Recommendati</w:t>
      </w:r>
      <w:r w:rsidR="008D6ABD" w:rsidRPr="00B44278">
        <w:rPr>
          <w:rFonts w:ascii="Times New Roman" w:eastAsia="Times New Roman" w:hAnsi="Times New Roman" w:cs="Times New Roman"/>
          <w:sz w:val="24"/>
          <w:szCs w:val="24"/>
        </w:rPr>
        <w:t>ons</w:t>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Pr="00B44278">
        <w:rPr>
          <w:rFonts w:ascii="Times New Roman" w:eastAsia="Times New Roman" w:hAnsi="Times New Roman" w:cs="Times New Roman"/>
          <w:sz w:val="24"/>
          <w:szCs w:val="24"/>
        </w:rPr>
        <w:t>70</w:t>
      </w:r>
    </w:p>
    <w:p w14:paraId="4ECA5209" w14:textId="2F1BD6C1" w:rsidR="002B4805" w:rsidRPr="00B44278" w:rsidRDefault="002B4805" w:rsidP="002B4805">
      <w:pPr>
        <w:spacing w:line="480" w:lineRule="auto"/>
        <w:rPr>
          <w:rFonts w:ascii="Times New Roman" w:eastAsia="Times New Roman" w:hAnsi="Times New Roman" w:cs="Times New Roman"/>
          <w:sz w:val="24"/>
          <w:szCs w:val="24"/>
        </w:rPr>
        <w:sectPr w:rsidR="002B4805" w:rsidRPr="00B44278" w:rsidSect="006E4455">
          <w:footerReference w:type="default" r:id="rId10"/>
          <w:pgSz w:w="11909" w:h="16834" w:code="9"/>
          <w:pgMar w:top="1440" w:right="1440" w:bottom="1440" w:left="1440" w:header="706" w:footer="706" w:gutter="0"/>
          <w:pgNumType w:fmt="lowerRoman" w:start="1"/>
          <w:cols w:space="720"/>
        </w:sectPr>
      </w:pPr>
      <w:r w:rsidRPr="00B44278">
        <w:rPr>
          <w:rFonts w:ascii="Times New Roman" w:eastAsia="Times New Roman" w:hAnsi="Times New Roman" w:cs="Times New Roman"/>
          <w:sz w:val="24"/>
          <w:szCs w:val="24"/>
        </w:rPr>
        <w:t>REFER</w:t>
      </w:r>
      <w:r w:rsidR="008D6ABD" w:rsidRPr="00B44278">
        <w:rPr>
          <w:rFonts w:ascii="Times New Roman" w:eastAsia="Times New Roman" w:hAnsi="Times New Roman" w:cs="Times New Roman"/>
          <w:sz w:val="24"/>
          <w:szCs w:val="24"/>
        </w:rPr>
        <w:t>ENCES</w:t>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8D6ABD" w:rsidRPr="00B44278">
        <w:rPr>
          <w:rFonts w:ascii="Times New Roman" w:eastAsia="Times New Roman" w:hAnsi="Times New Roman" w:cs="Times New Roman"/>
          <w:sz w:val="24"/>
          <w:szCs w:val="24"/>
        </w:rPr>
        <w:tab/>
      </w:r>
      <w:r w:rsidR="00501C10" w:rsidRPr="00B44278">
        <w:rPr>
          <w:rFonts w:ascii="Times New Roman" w:eastAsia="Times New Roman" w:hAnsi="Times New Roman" w:cs="Times New Roman"/>
          <w:sz w:val="24"/>
          <w:szCs w:val="24"/>
        </w:rPr>
        <w:t>72</w:t>
      </w:r>
    </w:p>
    <w:p w14:paraId="3D2FC8C6" w14:textId="28B05B77" w:rsidR="009E6927" w:rsidRPr="00B44278" w:rsidRDefault="009E6927" w:rsidP="00D51DE4">
      <w:pPr>
        <w:tabs>
          <w:tab w:val="left" w:pos="1020"/>
        </w:tabs>
        <w:rPr>
          <w:rFonts w:ascii="Times New Roman" w:eastAsia="Times New Roman" w:hAnsi="Times New Roman" w:cs="Times New Roman"/>
          <w:b/>
          <w:sz w:val="24"/>
          <w:szCs w:val="24"/>
        </w:rPr>
      </w:pPr>
    </w:p>
    <w:p w14:paraId="011C8E67" w14:textId="682D9B5B" w:rsidR="001469C4" w:rsidRPr="00B44278" w:rsidRDefault="00802A6C" w:rsidP="00D51DE4">
      <w:pPr>
        <w:pStyle w:val="Heading7"/>
        <w:rPr>
          <w:rFonts w:eastAsia="Times New Roman" w:cs="Times New Roman"/>
          <w:szCs w:val="24"/>
        </w:rPr>
      </w:pPr>
      <w:r w:rsidRPr="00B44278">
        <w:rPr>
          <w:rFonts w:eastAsia="Times New Roman" w:cs="Times New Roman"/>
          <w:szCs w:val="24"/>
        </w:rPr>
        <w:t>CHAPTER ONE</w:t>
      </w:r>
    </w:p>
    <w:p w14:paraId="5201A748" w14:textId="77777777" w:rsidR="00D51DE4" w:rsidRPr="00B44278" w:rsidRDefault="00D51DE4" w:rsidP="00D51DE4">
      <w:pPr>
        <w:rPr>
          <w:rFonts w:ascii="Times New Roman" w:hAnsi="Times New Roman" w:cs="Times New Roman"/>
          <w:b/>
          <w:sz w:val="24"/>
          <w:szCs w:val="24"/>
        </w:rPr>
      </w:pPr>
    </w:p>
    <w:p w14:paraId="3F8FA364" w14:textId="426141B5" w:rsidR="001469C4" w:rsidRPr="00B44278" w:rsidRDefault="00102FFB" w:rsidP="00102FFB">
      <w:pPr>
        <w:pStyle w:val="Heading7"/>
        <w:jc w:val="left"/>
        <w:rPr>
          <w:rFonts w:eastAsia="Times New Roman" w:cs="Times New Roman"/>
          <w:szCs w:val="24"/>
        </w:rPr>
      </w:pPr>
      <w:r w:rsidRPr="00B44278">
        <w:rPr>
          <w:rFonts w:eastAsia="Times New Roman" w:cs="Times New Roman"/>
          <w:szCs w:val="24"/>
        </w:rPr>
        <w:t xml:space="preserve">1.0 </w:t>
      </w:r>
      <w:r w:rsidRPr="00B44278">
        <w:rPr>
          <w:rFonts w:eastAsia="Times New Roman" w:cs="Times New Roman"/>
          <w:szCs w:val="24"/>
        </w:rPr>
        <w:tab/>
      </w:r>
      <w:r w:rsidRPr="00B44278">
        <w:rPr>
          <w:rFonts w:eastAsia="Times New Roman" w:cs="Times New Roman"/>
          <w:szCs w:val="24"/>
        </w:rPr>
        <w:tab/>
      </w:r>
      <w:r w:rsidRPr="00B44278">
        <w:rPr>
          <w:rFonts w:eastAsia="Times New Roman" w:cs="Times New Roman"/>
          <w:szCs w:val="24"/>
        </w:rPr>
        <w:tab/>
      </w:r>
      <w:r w:rsidRPr="00B44278">
        <w:rPr>
          <w:rFonts w:eastAsia="Times New Roman" w:cs="Times New Roman"/>
          <w:szCs w:val="24"/>
        </w:rPr>
        <w:tab/>
      </w:r>
      <w:r w:rsidRPr="00B44278">
        <w:rPr>
          <w:rFonts w:eastAsia="Times New Roman" w:cs="Times New Roman"/>
          <w:szCs w:val="24"/>
        </w:rPr>
        <w:tab/>
        <w:t xml:space="preserve">  </w:t>
      </w:r>
      <w:r w:rsidR="00802A6C" w:rsidRPr="00B44278">
        <w:rPr>
          <w:rFonts w:eastAsia="Times New Roman" w:cs="Times New Roman"/>
          <w:szCs w:val="24"/>
        </w:rPr>
        <w:t>INTRODUCTION</w:t>
      </w:r>
    </w:p>
    <w:p w14:paraId="047BFFFC" w14:textId="77777777" w:rsidR="001469C4" w:rsidRPr="00B44278" w:rsidRDefault="00802A6C" w:rsidP="005177A2">
      <w:pPr>
        <w:pStyle w:val="Heading8"/>
        <w:rPr>
          <w:rFonts w:eastAsia="Times New Roman" w:cs="Times New Roman"/>
          <w:szCs w:val="24"/>
        </w:rPr>
      </w:pPr>
      <w:r w:rsidRPr="00B44278">
        <w:rPr>
          <w:rFonts w:eastAsia="Times New Roman" w:cs="Times New Roman"/>
          <w:szCs w:val="24"/>
        </w:rPr>
        <w:t>1.1</w:t>
      </w:r>
      <w:r w:rsidRPr="00B44278">
        <w:rPr>
          <w:rFonts w:eastAsia="Times New Roman" w:cs="Times New Roman"/>
          <w:szCs w:val="24"/>
        </w:rPr>
        <w:tab/>
        <w:t>Background to the Study</w:t>
      </w:r>
    </w:p>
    <w:p w14:paraId="24181E85" w14:textId="1E007C6E" w:rsidR="001469C4" w:rsidRPr="00B44278" w:rsidRDefault="00120980">
      <w:pPr>
        <w:spacing w:before="280" w:after="28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Colorectal cancer (CRC) is still of the most redoubtable world health challenges in the 21st century, its major characteristics is </w:t>
      </w:r>
      <w:r w:rsidR="00802A6C" w:rsidRPr="00B44278">
        <w:rPr>
          <w:rFonts w:ascii="Times New Roman" w:eastAsia="Times New Roman" w:hAnsi="Times New Roman" w:cs="Times New Roman"/>
          <w:sz w:val="24"/>
          <w:szCs w:val="24"/>
        </w:rPr>
        <w:t>uncontrolled proliferation of epithelial cells</w:t>
      </w:r>
      <w:r w:rsidRPr="00B44278">
        <w:rPr>
          <w:rFonts w:ascii="Times New Roman" w:eastAsia="Times New Roman" w:hAnsi="Times New Roman" w:cs="Times New Roman"/>
          <w:sz w:val="24"/>
          <w:szCs w:val="24"/>
        </w:rPr>
        <w:t xml:space="preserve"> that line either the colon or rectum</w:t>
      </w:r>
      <w:r w:rsidR="00802A6C" w:rsidRPr="00B44278">
        <w:rPr>
          <w:rFonts w:ascii="Times New Roman" w:eastAsia="Times New Roman" w:hAnsi="Times New Roman" w:cs="Times New Roman"/>
          <w:sz w:val="24"/>
          <w:szCs w:val="24"/>
        </w:rPr>
        <w:t xml:space="preserve">, </w:t>
      </w:r>
      <w:r w:rsidRPr="00B44278">
        <w:rPr>
          <w:rFonts w:ascii="Times New Roman" w:eastAsia="Times New Roman" w:hAnsi="Times New Roman" w:cs="Times New Roman"/>
          <w:sz w:val="24"/>
          <w:szCs w:val="24"/>
        </w:rPr>
        <w:t>it often progress</w:t>
      </w:r>
      <w:r w:rsidR="00802A6C" w:rsidRPr="00B44278">
        <w:rPr>
          <w:rFonts w:ascii="Times New Roman" w:eastAsia="Times New Roman" w:hAnsi="Times New Roman" w:cs="Times New Roman"/>
          <w:sz w:val="24"/>
          <w:szCs w:val="24"/>
        </w:rPr>
        <w:t xml:space="preserve"> from benign adenomas to malignant carcinomas through a series of genetic and epigenetic alterations (Adebayo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2023). </w:t>
      </w:r>
      <w:r w:rsidR="001F1C3C" w:rsidRPr="00B44278">
        <w:rPr>
          <w:rFonts w:ascii="Times New Roman" w:eastAsia="Times New Roman" w:hAnsi="Times New Roman" w:cs="Times New Roman"/>
          <w:sz w:val="24"/>
          <w:szCs w:val="24"/>
        </w:rPr>
        <w:t xml:space="preserve">Being the number three most common </w:t>
      </w:r>
      <w:r w:rsidRPr="00B44278">
        <w:rPr>
          <w:rFonts w:ascii="Times New Roman" w:eastAsia="Times New Roman" w:hAnsi="Times New Roman" w:cs="Times New Roman"/>
          <w:sz w:val="24"/>
          <w:szCs w:val="24"/>
        </w:rPr>
        <w:t xml:space="preserve"> malignancy in the world, it accounts for about 10% of all cancer diagnoses and also about 9.4% of all cancer-related mortality – it has an estimated 1.93 million new incidence and 916,000 mortality cases reported in the year 2020 alone</w:t>
      </w:r>
      <w:r w:rsidR="00802A6C" w:rsidRPr="00B44278">
        <w:rPr>
          <w:rFonts w:ascii="Times New Roman" w:eastAsia="Times New Roman" w:hAnsi="Times New Roman" w:cs="Times New Roman"/>
          <w:sz w:val="24"/>
          <w:szCs w:val="24"/>
        </w:rPr>
        <w:t xml:space="preserve"> (Sukrueangkul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2024). </w:t>
      </w:r>
      <w:r w:rsidRPr="00B44278">
        <w:rPr>
          <w:rFonts w:ascii="Times New Roman" w:eastAsia="Times New Roman" w:hAnsi="Times New Roman" w:cs="Times New Roman"/>
          <w:sz w:val="24"/>
          <w:szCs w:val="24"/>
        </w:rPr>
        <w:t>Its burden is not evenly distributed – high-income countries are showing reducing or declining incidence as a result of effective screening interventions, while low-and middle-income nations</w:t>
      </w:r>
      <w:r w:rsidR="00003448" w:rsidRPr="00B44278">
        <w:rPr>
          <w:rFonts w:ascii="Times New Roman" w:eastAsia="Times New Roman" w:hAnsi="Times New Roman" w:cs="Times New Roman"/>
          <w:sz w:val="24"/>
          <w:szCs w:val="24"/>
        </w:rPr>
        <w:t xml:space="preserve"> (LMICs) still experience rapid surge which is adduced to westernized diets, </w:t>
      </w:r>
      <w:r w:rsidR="00802A6C" w:rsidRPr="00B44278">
        <w:rPr>
          <w:rFonts w:ascii="Times New Roman" w:eastAsia="Times New Roman" w:hAnsi="Times New Roman" w:cs="Times New Roman"/>
          <w:sz w:val="24"/>
          <w:szCs w:val="24"/>
        </w:rPr>
        <w:t xml:space="preserve">sedentary lifestyles, and ageing populations (Adebayo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2023; Sukrueangkul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2024). </w:t>
      </w:r>
    </w:p>
    <w:p w14:paraId="4C57A217" w14:textId="66D7A14B" w:rsidR="001469C4" w:rsidRPr="00B44278" w:rsidRDefault="00003448">
      <w:pPr>
        <w:pBdr>
          <w:top w:val="nil"/>
          <w:left w:val="nil"/>
          <w:bottom w:val="nil"/>
          <w:right w:val="nil"/>
          <w:between w:val="nil"/>
        </w:pBdr>
        <w:spacing w:before="280" w:after="28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Despite progress in screening, chemotherapy, surgery, and targeted treatments, the treatment of CRC still faces redoubtable limitations that long-term remission</w:t>
      </w:r>
      <w:r w:rsidR="00175095" w:rsidRPr="00B44278">
        <w:rPr>
          <w:rFonts w:ascii="Times New Roman" w:eastAsia="Times New Roman" w:hAnsi="Times New Roman" w:cs="Times New Roman"/>
          <w:sz w:val="24"/>
          <w:szCs w:val="24"/>
        </w:rPr>
        <w:t xml:space="preserve"> and patient quality of life (QoL)</w:t>
      </w:r>
      <w:r w:rsidRPr="00B44278">
        <w:rPr>
          <w:rFonts w:ascii="Times New Roman" w:eastAsia="Times New Roman" w:hAnsi="Times New Roman" w:cs="Times New Roman"/>
          <w:sz w:val="24"/>
          <w:szCs w:val="24"/>
        </w:rPr>
        <w:t xml:space="preserve"> </w:t>
      </w:r>
      <w:r w:rsidR="00175095" w:rsidRPr="00B44278">
        <w:rPr>
          <w:rFonts w:ascii="Times New Roman" w:eastAsia="Times New Roman" w:hAnsi="Times New Roman" w:cs="Times New Roman"/>
          <w:sz w:val="24"/>
          <w:szCs w:val="24"/>
        </w:rPr>
        <w:t xml:space="preserve">(Adebayo </w:t>
      </w:r>
      <w:r w:rsidR="00424714" w:rsidRPr="00B44278">
        <w:rPr>
          <w:rFonts w:ascii="Times New Roman" w:eastAsia="Times New Roman" w:hAnsi="Times New Roman" w:cs="Times New Roman"/>
          <w:i/>
          <w:sz w:val="24"/>
          <w:szCs w:val="24"/>
        </w:rPr>
        <w:t>et al</w:t>
      </w:r>
      <w:r w:rsidR="00175095" w:rsidRPr="00B44278">
        <w:rPr>
          <w:rFonts w:ascii="Times New Roman" w:eastAsia="Times New Roman" w:hAnsi="Times New Roman" w:cs="Times New Roman"/>
          <w:sz w:val="24"/>
          <w:szCs w:val="24"/>
        </w:rPr>
        <w:t xml:space="preserve">., 2023). </w:t>
      </w:r>
      <w:r w:rsidR="00802A6C" w:rsidRPr="00B44278">
        <w:rPr>
          <w:rFonts w:ascii="Times New Roman" w:eastAsia="Times New Roman" w:hAnsi="Times New Roman" w:cs="Times New Roman"/>
          <w:sz w:val="24"/>
          <w:szCs w:val="24"/>
        </w:rPr>
        <w:t>5-fluorourac</w:t>
      </w:r>
      <w:r w:rsidR="00175095" w:rsidRPr="00B44278">
        <w:rPr>
          <w:rFonts w:ascii="Times New Roman" w:eastAsia="Times New Roman" w:hAnsi="Times New Roman" w:cs="Times New Roman"/>
          <w:sz w:val="24"/>
          <w:szCs w:val="24"/>
        </w:rPr>
        <w:t xml:space="preserve">il, oxaliplatin, and irinotecan, the common chemotherapeutic agents, </w:t>
      </w:r>
      <w:r w:rsidR="00802A6C" w:rsidRPr="00B44278">
        <w:rPr>
          <w:rFonts w:ascii="Times New Roman" w:eastAsia="Times New Roman" w:hAnsi="Times New Roman" w:cs="Times New Roman"/>
          <w:sz w:val="24"/>
          <w:szCs w:val="24"/>
        </w:rPr>
        <w:t xml:space="preserve">are </w:t>
      </w:r>
      <w:r w:rsidR="00175095" w:rsidRPr="00B44278">
        <w:rPr>
          <w:rFonts w:ascii="Times New Roman" w:eastAsia="Times New Roman" w:hAnsi="Times New Roman" w:cs="Times New Roman"/>
          <w:sz w:val="24"/>
          <w:szCs w:val="24"/>
        </w:rPr>
        <w:t xml:space="preserve">still </w:t>
      </w:r>
      <w:r w:rsidR="00802A6C" w:rsidRPr="00B44278">
        <w:rPr>
          <w:rFonts w:ascii="Times New Roman" w:eastAsia="Times New Roman" w:hAnsi="Times New Roman" w:cs="Times New Roman"/>
          <w:sz w:val="24"/>
          <w:szCs w:val="24"/>
        </w:rPr>
        <w:t xml:space="preserve">plagued by acquired </w:t>
      </w:r>
      <w:r w:rsidR="00297EEC" w:rsidRPr="00B44278">
        <w:rPr>
          <w:rFonts w:ascii="Times New Roman" w:eastAsia="Times New Roman" w:hAnsi="Times New Roman" w:cs="Times New Roman"/>
          <w:sz w:val="24"/>
          <w:szCs w:val="24"/>
        </w:rPr>
        <w:t xml:space="preserve">drug </w:t>
      </w:r>
      <w:r w:rsidR="00802A6C" w:rsidRPr="00B44278">
        <w:rPr>
          <w:rFonts w:ascii="Times New Roman" w:eastAsia="Times New Roman" w:hAnsi="Times New Roman" w:cs="Times New Roman"/>
          <w:sz w:val="24"/>
          <w:szCs w:val="24"/>
        </w:rPr>
        <w:t xml:space="preserve">resistance, occurring in the majority of patients due to genetic mutations and efflux pumps like ATP-Binding Cassette (ABC) transporters (Alatise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2025). Toxicity profiles are equally </w:t>
      </w:r>
      <w:r w:rsidR="00297EEC" w:rsidRPr="00B44278">
        <w:rPr>
          <w:rFonts w:ascii="Times New Roman" w:eastAsia="Times New Roman" w:hAnsi="Times New Roman" w:cs="Times New Roman"/>
          <w:sz w:val="24"/>
          <w:szCs w:val="24"/>
        </w:rPr>
        <w:t xml:space="preserve">of </w:t>
      </w:r>
      <w:r w:rsidR="00802A6C" w:rsidRPr="00B44278">
        <w:rPr>
          <w:rFonts w:ascii="Times New Roman" w:eastAsia="Times New Roman" w:hAnsi="Times New Roman" w:cs="Times New Roman"/>
          <w:sz w:val="24"/>
          <w:szCs w:val="24"/>
        </w:rPr>
        <w:t>c</w:t>
      </w:r>
      <w:r w:rsidR="00297EEC" w:rsidRPr="00B44278">
        <w:rPr>
          <w:rFonts w:ascii="Times New Roman" w:eastAsia="Times New Roman" w:hAnsi="Times New Roman" w:cs="Times New Roman"/>
          <w:sz w:val="24"/>
          <w:szCs w:val="24"/>
        </w:rPr>
        <w:t>oncern</w:t>
      </w:r>
      <w:r w:rsidR="00802A6C" w:rsidRPr="00B44278">
        <w:rPr>
          <w:rFonts w:ascii="Times New Roman" w:eastAsia="Times New Roman" w:hAnsi="Times New Roman" w:cs="Times New Roman"/>
          <w:sz w:val="24"/>
          <w:szCs w:val="24"/>
        </w:rPr>
        <w:t xml:space="preserve">, with neurotoxicity, gastrointestinal distress, and cardiotoxicity affecting a great deal of patients, leading to dose reductions or discontinuation (Azwar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2025). Single-target therapies, </w:t>
      </w:r>
      <w:r w:rsidR="00802A6C" w:rsidRPr="00B44278">
        <w:rPr>
          <w:rFonts w:ascii="Times New Roman" w:eastAsia="Times New Roman" w:hAnsi="Times New Roman" w:cs="Times New Roman"/>
          <w:sz w:val="24"/>
          <w:szCs w:val="24"/>
        </w:rPr>
        <w:lastRenderedPageBreak/>
        <w:t xml:space="preserve">such as EGFR inhibitors (cetuximab) or VEGF blockers (bevacizumab), are limited by tumour heterogeneity and pathway redundancy, resulting in low response rates and inevitable relapse (Bakillah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2025). </w:t>
      </w:r>
    </w:p>
    <w:p w14:paraId="58F23B06" w14:textId="2D8360E5" w:rsidR="001469C4" w:rsidRPr="00B44278" w:rsidRDefault="00802A6C">
      <w:pPr>
        <w:pBdr>
          <w:top w:val="nil"/>
          <w:left w:val="nil"/>
          <w:bottom w:val="nil"/>
          <w:right w:val="nil"/>
          <w:between w:val="nil"/>
        </w:pBdr>
        <w:spacing w:before="280" w:after="28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Off-target effects </w:t>
      </w:r>
      <w:r w:rsidR="00175095" w:rsidRPr="00B44278">
        <w:rPr>
          <w:rFonts w:ascii="Times New Roman" w:eastAsia="Times New Roman" w:hAnsi="Times New Roman" w:cs="Times New Roman"/>
          <w:sz w:val="24"/>
          <w:szCs w:val="24"/>
        </w:rPr>
        <w:t>of chemotherapeutics further worsen</w:t>
      </w:r>
      <w:r w:rsidRPr="00B44278">
        <w:rPr>
          <w:rFonts w:ascii="Times New Roman" w:eastAsia="Times New Roman" w:hAnsi="Times New Roman" w:cs="Times New Roman"/>
          <w:sz w:val="24"/>
          <w:szCs w:val="24"/>
        </w:rPr>
        <w:t xml:space="preserve"> morbidity,</w:t>
      </w:r>
      <w:r w:rsidR="00175095" w:rsidRPr="00B44278">
        <w:rPr>
          <w:rFonts w:ascii="Times New Roman" w:eastAsia="Times New Roman" w:hAnsi="Times New Roman" w:cs="Times New Roman"/>
          <w:sz w:val="24"/>
          <w:szCs w:val="24"/>
        </w:rPr>
        <w:t xml:space="preserve"> particularly secondary malignancy and immune suppression (Moen </w:t>
      </w:r>
      <w:r w:rsidR="00424714" w:rsidRPr="00B44278">
        <w:rPr>
          <w:rFonts w:ascii="Times New Roman" w:eastAsia="Times New Roman" w:hAnsi="Times New Roman" w:cs="Times New Roman"/>
          <w:i/>
          <w:sz w:val="24"/>
          <w:szCs w:val="24"/>
        </w:rPr>
        <w:t>et al</w:t>
      </w:r>
      <w:r w:rsidR="00175095" w:rsidRPr="00B44278">
        <w:rPr>
          <w:rFonts w:ascii="Times New Roman" w:eastAsia="Times New Roman" w:hAnsi="Times New Roman" w:cs="Times New Roman"/>
          <w:i/>
          <w:sz w:val="24"/>
          <w:szCs w:val="24"/>
        </w:rPr>
        <w:t>.,</w:t>
      </w:r>
      <w:r w:rsidR="00175095" w:rsidRPr="00B44278">
        <w:rPr>
          <w:rFonts w:ascii="Times New Roman" w:eastAsia="Times New Roman" w:hAnsi="Times New Roman" w:cs="Times New Roman"/>
          <w:sz w:val="24"/>
          <w:szCs w:val="24"/>
        </w:rPr>
        <w:t xml:space="preserve"> 2024)</w:t>
      </w:r>
      <w:r w:rsidRPr="00B44278">
        <w:rPr>
          <w:rFonts w:ascii="Times New Roman" w:eastAsia="Times New Roman" w:hAnsi="Times New Roman" w:cs="Times New Roman"/>
          <w:sz w:val="24"/>
          <w:szCs w:val="24"/>
        </w:rPr>
        <w:t xml:space="preserve">. </w:t>
      </w:r>
      <w:r w:rsidR="00175095" w:rsidRPr="00B44278">
        <w:rPr>
          <w:rFonts w:ascii="Times New Roman" w:eastAsia="Times New Roman" w:hAnsi="Times New Roman" w:cs="Times New Roman"/>
          <w:sz w:val="24"/>
          <w:szCs w:val="24"/>
        </w:rPr>
        <w:t xml:space="preserve">Other challenges include high rate of recurrence, lateness of diagnosis in resource-limited nations, </w:t>
      </w:r>
      <w:r w:rsidR="00115B32" w:rsidRPr="00B44278">
        <w:rPr>
          <w:rFonts w:ascii="Times New Roman" w:eastAsia="Times New Roman" w:hAnsi="Times New Roman" w:cs="Times New Roman"/>
          <w:sz w:val="24"/>
          <w:szCs w:val="24"/>
        </w:rPr>
        <w:t xml:space="preserve">variability in genetics across population, and unaffordable cost of precision medicine, </w:t>
      </w:r>
      <w:r w:rsidRPr="00B44278">
        <w:rPr>
          <w:rFonts w:ascii="Times New Roman" w:eastAsia="Times New Roman" w:hAnsi="Times New Roman" w:cs="Times New Roman"/>
          <w:sz w:val="24"/>
          <w:szCs w:val="24"/>
        </w:rPr>
        <w:t xml:space="preserve">restricting access in resource-limited settings like Nigeria (Moen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2024; Alatise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2025). These factors collectively</w:t>
      </w:r>
      <w:r w:rsidR="00297EEC" w:rsidRPr="00B44278">
        <w:rPr>
          <w:rFonts w:ascii="Times New Roman" w:eastAsia="Times New Roman" w:hAnsi="Times New Roman" w:cs="Times New Roman"/>
          <w:sz w:val="24"/>
          <w:szCs w:val="24"/>
        </w:rPr>
        <w:t xml:space="preserve"> contribute to stagnant</w:t>
      </w:r>
      <w:r w:rsidRPr="00B44278">
        <w:rPr>
          <w:rFonts w:ascii="Times New Roman" w:eastAsia="Times New Roman" w:hAnsi="Times New Roman" w:cs="Times New Roman"/>
          <w:sz w:val="24"/>
          <w:szCs w:val="24"/>
        </w:rPr>
        <w:t xml:space="preserve"> improvements</w:t>
      </w:r>
      <w:r w:rsidR="00297EEC" w:rsidRPr="00B44278">
        <w:rPr>
          <w:rFonts w:ascii="Times New Roman" w:eastAsia="Times New Roman" w:hAnsi="Times New Roman" w:cs="Times New Roman"/>
          <w:sz w:val="24"/>
          <w:szCs w:val="24"/>
        </w:rPr>
        <w:t xml:space="preserve"> in survival</w:t>
      </w:r>
      <w:r w:rsidRPr="00B44278">
        <w:rPr>
          <w:rFonts w:ascii="Times New Roman" w:eastAsia="Times New Roman" w:hAnsi="Times New Roman" w:cs="Times New Roman"/>
          <w:sz w:val="24"/>
          <w:szCs w:val="24"/>
        </w:rPr>
        <w:t>, necessitating safer, multi-target therapeutic options that address the multifaceted nature of CRC pathogenesis.</w:t>
      </w:r>
    </w:p>
    <w:p w14:paraId="2B8DEF38" w14:textId="5C5FCF20" w:rsidR="007203C0" w:rsidRPr="00B44278" w:rsidRDefault="00115B32" w:rsidP="007203C0">
      <w:pPr>
        <w:spacing w:before="280" w:after="280" w:line="480" w:lineRule="auto"/>
        <w:jc w:val="both"/>
        <w:rPr>
          <w:rFonts w:ascii="Times New Roman" w:hAnsi="Times New Roman" w:cs="Times New Roman"/>
          <w:sz w:val="24"/>
          <w:szCs w:val="24"/>
          <w:lang w:val="en-US"/>
        </w:rPr>
      </w:pPr>
      <w:r w:rsidRPr="00B44278">
        <w:rPr>
          <w:rFonts w:ascii="Times New Roman" w:eastAsia="Times New Roman" w:hAnsi="Times New Roman" w:cs="Times New Roman"/>
          <w:sz w:val="24"/>
          <w:szCs w:val="24"/>
        </w:rPr>
        <w:t xml:space="preserve">Compounds from natural products have </w:t>
      </w:r>
      <w:r w:rsidR="00802A6C" w:rsidRPr="00B44278">
        <w:rPr>
          <w:rFonts w:ascii="Times New Roman" w:eastAsia="Times New Roman" w:hAnsi="Times New Roman" w:cs="Times New Roman"/>
          <w:sz w:val="24"/>
          <w:szCs w:val="24"/>
        </w:rPr>
        <w:t xml:space="preserve">emerged as promising alternatives, with luteolin </w:t>
      </w:r>
      <w:r w:rsidRPr="00B44278">
        <w:rPr>
          <w:rFonts w:ascii="Times New Roman" w:eastAsia="Times New Roman" w:hAnsi="Times New Roman" w:cs="Times New Roman"/>
          <w:sz w:val="24"/>
          <w:szCs w:val="24"/>
        </w:rPr>
        <w:t xml:space="preserve">attracting </w:t>
      </w:r>
      <w:r w:rsidR="00802A6C" w:rsidRPr="00B44278">
        <w:rPr>
          <w:rFonts w:ascii="Times New Roman" w:eastAsia="Times New Roman" w:hAnsi="Times New Roman" w:cs="Times New Roman"/>
          <w:sz w:val="24"/>
          <w:szCs w:val="24"/>
        </w:rPr>
        <w:t xml:space="preserve">attention for its </w:t>
      </w:r>
      <w:r w:rsidRPr="00B44278">
        <w:rPr>
          <w:rFonts w:ascii="Times New Roman" w:eastAsia="Times New Roman" w:hAnsi="Times New Roman" w:cs="Times New Roman"/>
          <w:sz w:val="24"/>
          <w:szCs w:val="24"/>
        </w:rPr>
        <w:t>reported pleiotropic anticancer potentials</w:t>
      </w:r>
      <w:r w:rsidR="00802A6C" w:rsidRPr="00B44278">
        <w:rPr>
          <w:rFonts w:ascii="Times New Roman" w:eastAsia="Times New Roman" w:hAnsi="Times New Roman" w:cs="Times New Roman"/>
          <w:sz w:val="24"/>
          <w:szCs w:val="24"/>
        </w:rPr>
        <w:t xml:space="preserve">. </w:t>
      </w:r>
      <w:r w:rsidR="007203C0" w:rsidRPr="00B44278">
        <w:rPr>
          <w:rFonts w:ascii="Times New Roman" w:hAnsi="Times New Roman" w:cs="Times New Roman"/>
          <w:sz w:val="24"/>
          <w:szCs w:val="24"/>
          <w:lang w:val="en-US"/>
        </w:rPr>
        <w:t xml:space="preserve">Luteolin is a </w:t>
      </w:r>
      <w:r w:rsidRPr="00B44278">
        <w:rPr>
          <w:rFonts w:ascii="Times New Roman" w:hAnsi="Times New Roman" w:cs="Times New Roman"/>
          <w:sz w:val="24"/>
          <w:szCs w:val="24"/>
          <w:lang w:val="en-US"/>
        </w:rPr>
        <w:t xml:space="preserve">member of </w:t>
      </w:r>
      <w:r w:rsidR="007203C0" w:rsidRPr="00B44278">
        <w:rPr>
          <w:rFonts w:ascii="Times New Roman" w:hAnsi="Times New Roman" w:cs="Times New Roman"/>
          <w:sz w:val="24"/>
          <w:szCs w:val="24"/>
          <w:lang w:val="en-US"/>
        </w:rPr>
        <w:t>flavone</w:t>
      </w:r>
      <w:r w:rsidRPr="00B44278">
        <w:rPr>
          <w:rFonts w:ascii="Times New Roman" w:hAnsi="Times New Roman" w:cs="Times New Roman"/>
          <w:sz w:val="24"/>
          <w:szCs w:val="24"/>
          <w:lang w:val="en-US"/>
        </w:rPr>
        <w:t xml:space="preserve"> family, a sub-class of flavonoids having </w:t>
      </w:r>
      <w:r w:rsidR="007203C0" w:rsidRPr="00B44278">
        <w:rPr>
          <w:rFonts w:ascii="Times New Roman" w:hAnsi="Times New Roman" w:cs="Times New Roman"/>
          <w:sz w:val="24"/>
          <w:szCs w:val="24"/>
          <w:lang w:val="en-US"/>
        </w:rPr>
        <w:t>pale yellow crysta</w:t>
      </w:r>
      <w:r w:rsidRPr="00B44278">
        <w:rPr>
          <w:rFonts w:ascii="Times New Roman" w:hAnsi="Times New Roman" w:cs="Times New Roman"/>
          <w:sz w:val="24"/>
          <w:szCs w:val="24"/>
          <w:lang w:val="en-US"/>
        </w:rPr>
        <w:t>lline appearance. It is the active component of the</w:t>
      </w:r>
      <w:r w:rsidR="007203C0" w:rsidRPr="00B44278">
        <w:rPr>
          <w:rFonts w:ascii="Times New Roman" w:hAnsi="Times New Roman" w:cs="Times New Roman"/>
          <w:sz w:val="24"/>
          <w:szCs w:val="24"/>
          <w:lang w:val="en-US"/>
        </w:rPr>
        <w:t xml:space="preserve"> yellow die from </w:t>
      </w:r>
      <w:r w:rsidR="007203C0" w:rsidRPr="00B44278">
        <w:rPr>
          <w:rFonts w:ascii="Times New Roman" w:hAnsi="Times New Roman" w:cs="Times New Roman"/>
          <w:i/>
          <w:sz w:val="24"/>
          <w:szCs w:val="24"/>
          <w:lang w:val="en-US"/>
        </w:rPr>
        <w:t>Reseda luteola</w:t>
      </w:r>
      <w:r w:rsidRPr="00B44278">
        <w:rPr>
          <w:rFonts w:ascii="Times New Roman" w:hAnsi="Times New Roman" w:cs="Times New Roman"/>
          <w:sz w:val="24"/>
          <w:szCs w:val="24"/>
          <w:lang w:val="en-US"/>
        </w:rPr>
        <w:t xml:space="preserve">. </w:t>
      </w:r>
      <w:r w:rsidR="00CD33ED" w:rsidRPr="00B44278">
        <w:rPr>
          <w:rFonts w:ascii="Times New Roman" w:hAnsi="Times New Roman" w:cs="Times New Roman"/>
          <w:sz w:val="24"/>
          <w:szCs w:val="24"/>
        </w:rPr>
        <w:t xml:space="preserve">The compound is mainly found in the leaves of plants, and has also been detected in the rinds of fruits, in bark tissues, clover flowers, and ragweed pollen (Wang </w:t>
      </w:r>
      <w:r w:rsidR="00424714" w:rsidRPr="00B44278">
        <w:rPr>
          <w:rFonts w:ascii="Times New Roman" w:hAnsi="Times New Roman" w:cs="Times New Roman"/>
          <w:i/>
          <w:sz w:val="24"/>
          <w:szCs w:val="24"/>
        </w:rPr>
        <w:t>et al</w:t>
      </w:r>
      <w:r w:rsidR="00CD33ED" w:rsidRPr="00B44278">
        <w:rPr>
          <w:rFonts w:ascii="Times New Roman" w:hAnsi="Times New Roman" w:cs="Times New Roman"/>
          <w:sz w:val="24"/>
          <w:szCs w:val="24"/>
        </w:rPr>
        <w:t xml:space="preserve">., 2025). It was isolated from </w:t>
      </w:r>
      <w:r w:rsidR="00CD33ED" w:rsidRPr="00B44278">
        <w:rPr>
          <w:rFonts w:ascii="Times New Roman" w:hAnsi="Times New Roman" w:cs="Times New Roman"/>
          <w:i/>
          <w:sz w:val="24"/>
          <w:szCs w:val="24"/>
        </w:rPr>
        <w:t>Salvia tomentosa</w:t>
      </w:r>
      <w:r w:rsidR="00CD33ED" w:rsidRPr="00B44278">
        <w:rPr>
          <w:rFonts w:ascii="Times New Roman" w:hAnsi="Times New Roman" w:cs="Times New Roman"/>
          <w:sz w:val="24"/>
          <w:szCs w:val="24"/>
        </w:rPr>
        <w:t>, a member of the Lamiaceae family, which is aromatic, and it can also be found in peppermint and thyme. Oth</w:t>
      </w:r>
      <w:r w:rsidR="007E221C" w:rsidRPr="00B44278">
        <w:rPr>
          <w:rFonts w:ascii="Times New Roman" w:hAnsi="Times New Roman" w:cs="Times New Roman"/>
          <w:sz w:val="24"/>
          <w:szCs w:val="24"/>
        </w:rPr>
        <w:t>er foods that contain flavonoids</w:t>
      </w:r>
      <w:r w:rsidR="00CD33ED" w:rsidRPr="00B44278">
        <w:rPr>
          <w:rFonts w:ascii="Times New Roman" w:hAnsi="Times New Roman" w:cs="Times New Roman"/>
          <w:sz w:val="24"/>
          <w:szCs w:val="24"/>
        </w:rPr>
        <w:t xml:space="preserve">: celery, broccoli, artichoke, green pepper, parsley, dandelion, perilla, chamomile tea, carrot, olive oil, rosemary, navel orange, oregano (Fusi </w:t>
      </w:r>
      <w:r w:rsidR="00424714" w:rsidRPr="00B44278">
        <w:rPr>
          <w:rFonts w:ascii="Times New Roman" w:hAnsi="Times New Roman" w:cs="Times New Roman"/>
          <w:i/>
          <w:sz w:val="24"/>
          <w:szCs w:val="24"/>
        </w:rPr>
        <w:t>et al</w:t>
      </w:r>
      <w:r w:rsidR="00CD33ED" w:rsidRPr="00B44278">
        <w:rPr>
          <w:rFonts w:ascii="Times New Roman" w:hAnsi="Times New Roman" w:cs="Times New Roman"/>
          <w:sz w:val="24"/>
          <w:szCs w:val="24"/>
        </w:rPr>
        <w:t>., 2020).</w:t>
      </w:r>
      <w:r w:rsidR="007203C0" w:rsidRPr="00B44278">
        <w:rPr>
          <w:rFonts w:ascii="Times New Roman" w:hAnsi="Times New Roman" w:cs="Times New Roman"/>
          <w:sz w:val="24"/>
          <w:szCs w:val="24"/>
          <w:lang w:val="en-US"/>
        </w:rPr>
        <w:t xml:space="preserve"> </w:t>
      </w:r>
    </w:p>
    <w:p w14:paraId="755F81E1" w14:textId="1F086963" w:rsidR="002B5515" w:rsidRPr="00B44278" w:rsidRDefault="002B5515">
      <w:pPr>
        <w:spacing w:before="280" w:after="28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Luteolin halts </w:t>
      </w:r>
      <w:r w:rsidR="00802A6C" w:rsidRPr="00B44278">
        <w:rPr>
          <w:rFonts w:ascii="Times New Roman" w:eastAsia="Times New Roman" w:hAnsi="Times New Roman" w:cs="Times New Roman"/>
          <w:sz w:val="24"/>
          <w:szCs w:val="24"/>
        </w:rPr>
        <w:t>proliferation</w:t>
      </w:r>
      <w:r w:rsidRPr="00B44278">
        <w:rPr>
          <w:rFonts w:ascii="Times New Roman" w:eastAsia="Times New Roman" w:hAnsi="Times New Roman" w:cs="Times New Roman"/>
          <w:sz w:val="24"/>
          <w:szCs w:val="24"/>
        </w:rPr>
        <w:t xml:space="preserve"> of cancerous cells, causes apoptosis, and restrain</w:t>
      </w:r>
      <w:r w:rsidR="00802A6C" w:rsidRPr="00B44278">
        <w:rPr>
          <w:rFonts w:ascii="Times New Roman" w:eastAsia="Times New Roman" w:hAnsi="Times New Roman" w:cs="Times New Roman"/>
          <w:sz w:val="24"/>
          <w:szCs w:val="24"/>
        </w:rPr>
        <w:t xml:space="preserve"> metastasis </w:t>
      </w:r>
      <w:r w:rsidRPr="00B44278">
        <w:rPr>
          <w:rFonts w:ascii="Times New Roman" w:eastAsia="Times New Roman" w:hAnsi="Times New Roman" w:cs="Times New Roman"/>
          <w:sz w:val="24"/>
          <w:szCs w:val="24"/>
        </w:rPr>
        <w:t>via a lot of pathways -</w:t>
      </w:r>
      <w:r w:rsidR="00802A6C" w:rsidRPr="00B44278">
        <w:rPr>
          <w:rFonts w:ascii="Times New Roman" w:eastAsia="Times New Roman" w:hAnsi="Times New Roman" w:cs="Times New Roman"/>
          <w:sz w:val="24"/>
          <w:szCs w:val="24"/>
        </w:rPr>
        <w:t xml:space="preserve"> including PI3K/Akt, MAPK, and NF-κB (Almatroodi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2024). </w:t>
      </w:r>
      <w:r w:rsidRPr="00B44278">
        <w:rPr>
          <w:rFonts w:ascii="Times New Roman" w:eastAsia="Times New Roman" w:hAnsi="Times New Roman" w:cs="Times New Roman"/>
          <w:sz w:val="24"/>
          <w:szCs w:val="24"/>
        </w:rPr>
        <w:t>Many studies have documented its efficacy against numerous malignancies - it represses</w:t>
      </w:r>
      <w:r w:rsidR="00802A6C" w:rsidRPr="00B44278">
        <w:rPr>
          <w:rFonts w:ascii="Times New Roman" w:eastAsia="Times New Roman" w:hAnsi="Times New Roman" w:cs="Times New Roman"/>
          <w:sz w:val="24"/>
          <w:szCs w:val="24"/>
        </w:rPr>
        <w:t xml:space="preserve"> </w:t>
      </w:r>
      <w:r w:rsidRPr="00B44278">
        <w:rPr>
          <w:rFonts w:ascii="Times New Roman" w:eastAsia="Times New Roman" w:hAnsi="Times New Roman" w:cs="Times New Roman"/>
          <w:sz w:val="24"/>
          <w:szCs w:val="24"/>
        </w:rPr>
        <w:t>growth of tumor in breast cancer by reducing the expression of</w:t>
      </w:r>
      <w:r w:rsidR="00802A6C" w:rsidRPr="00B44278">
        <w:rPr>
          <w:rFonts w:ascii="Times New Roman" w:eastAsia="Times New Roman" w:hAnsi="Times New Roman" w:cs="Times New Roman"/>
          <w:sz w:val="24"/>
          <w:szCs w:val="24"/>
        </w:rPr>
        <w:t xml:space="preserve"> HER2 and inducing G2/M arrest (Lee </w:t>
      </w:r>
      <w:r w:rsidR="00424714" w:rsidRPr="00B44278">
        <w:rPr>
          <w:rFonts w:ascii="Times New Roman" w:eastAsia="Times New Roman" w:hAnsi="Times New Roman" w:cs="Times New Roman"/>
          <w:i/>
          <w:sz w:val="24"/>
          <w:szCs w:val="24"/>
        </w:rPr>
        <w:t xml:space="preserve">et </w:t>
      </w:r>
      <w:r w:rsidR="00424714" w:rsidRPr="00B44278">
        <w:rPr>
          <w:rFonts w:ascii="Times New Roman" w:eastAsia="Times New Roman" w:hAnsi="Times New Roman" w:cs="Times New Roman"/>
          <w:i/>
          <w:sz w:val="24"/>
          <w:szCs w:val="24"/>
        </w:rPr>
        <w:lastRenderedPageBreak/>
        <w:t>al</w:t>
      </w:r>
      <w:r w:rsidR="00802A6C" w:rsidRPr="00B44278">
        <w:rPr>
          <w:rFonts w:ascii="Times New Roman" w:eastAsia="Times New Roman" w:hAnsi="Times New Roman" w:cs="Times New Roman"/>
          <w:sz w:val="24"/>
          <w:szCs w:val="24"/>
        </w:rPr>
        <w:t>., 2012); in lung cancer, it sensitizes cells to cisplatin via ROS-mediated apoptosis (</w:t>
      </w:r>
      <w:r w:rsidR="00802A6C" w:rsidRPr="00B44278">
        <w:rPr>
          <w:rFonts w:ascii="Times New Roman" w:eastAsia="Times New Roman" w:hAnsi="Times New Roman" w:cs="Times New Roman"/>
          <w:sz w:val="24"/>
          <w:szCs w:val="24"/>
          <w:highlight w:val="white"/>
        </w:rPr>
        <w:t>Pratheeshkumar</w:t>
      </w:r>
      <w:r w:rsidR="00802A6C" w:rsidRPr="00B44278">
        <w:rPr>
          <w:rFonts w:ascii="Times New Roman" w:eastAsia="Times New Roman" w:hAnsi="Times New Roman" w:cs="Times New Roman"/>
          <w:sz w:val="24"/>
          <w:szCs w:val="24"/>
        </w:rPr>
        <w:t xml:space="preserve">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2014); prostate cancer models demonstrate inhibition of androgen receptor signaling and migration (Ganai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2021); colon cancer exhibits reduced invasion via Wnt/β-catenin suppression (Rauf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2024); liver cancer is targeted through STAT3 inhibition (Liu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2010); pancreatic cancer shows enhanced gemcitabine sensitivity (Panebianco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2021); gastric cancer involves p53 upregulation (Busuttil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2014); and leukaemia responds to Bcl-2 downregulation (Tuli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2022). </w:t>
      </w:r>
      <w:r w:rsidRPr="00B44278">
        <w:rPr>
          <w:rFonts w:ascii="Times New Roman" w:eastAsia="Times New Roman" w:hAnsi="Times New Roman" w:cs="Times New Roman"/>
          <w:sz w:val="24"/>
          <w:szCs w:val="24"/>
        </w:rPr>
        <w:t>The above listed examples show luteolin has broad spectrum of activity – yet a lot of these focus on tradition one-target or one-pathway approach, leaving behind the holistic and multiple target interactions that occurs in complex disease as in the case of CRC.</w:t>
      </w:r>
    </w:p>
    <w:p w14:paraId="2BEC71BD" w14:textId="067D768F" w:rsidR="001469C4" w:rsidRPr="00B44278" w:rsidRDefault="00C41672">
      <w:pPr>
        <w:spacing w:before="280" w:after="28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This limitation underlines the need for a robust and comprehensive research that unravels the full therapeutic potential of luteolin against CRC. NP – a modern </w:t>
      </w:r>
      <w:r w:rsidR="003728D4" w:rsidRPr="00B44278">
        <w:rPr>
          <w:rFonts w:ascii="Times New Roman" w:eastAsia="Times New Roman" w:hAnsi="Times New Roman" w:cs="Times New Roman"/>
          <w:sz w:val="24"/>
          <w:szCs w:val="24"/>
        </w:rPr>
        <w:t>s</w:t>
      </w:r>
      <w:r w:rsidRPr="00B44278">
        <w:rPr>
          <w:rFonts w:ascii="Times New Roman" w:eastAsia="Times New Roman" w:hAnsi="Times New Roman" w:cs="Times New Roman"/>
          <w:sz w:val="24"/>
          <w:szCs w:val="24"/>
        </w:rPr>
        <w:t>cientific approach that</w:t>
      </w:r>
      <w:r w:rsidR="003728D4" w:rsidRPr="00B44278">
        <w:rPr>
          <w:rFonts w:ascii="Times New Roman" w:eastAsia="Times New Roman" w:hAnsi="Times New Roman" w:cs="Times New Roman"/>
          <w:sz w:val="24"/>
          <w:szCs w:val="24"/>
        </w:rPr>
        <w:t xml:space="preserve"> </w:t>
      </w:r>
      <w:r w:rsidRPr="00B44278">
        <w:rPr>
          <w:rFonts w:ascii="Times New Roman" w:eastAsia="Times New Roman" w:hAnsi="Times New Roman" w:cs="Times New Roman"/>
          <w:sz w:val="24"/>
          <w:szCs w:val="24"/>
        </w:rPr>
        <w:t>integrates</w:t>
      </w:r>
      <w:r w:rsidR="00802A6C" w:rsidRPr="00B44278">
        <w:rPr>
          <w:rFonts w:ascii="Times New Roman" w:eastAsia="Times New Roman" w:hAnsi="Times New Roman" w:cs="Times New Roman"/>
          <w:sz w:val="24"/>
          <w:szCs w:val="24"/>
        </w:rPr>
        <w:t xml:space="preserve"> bioinformatics, omics data, and molecular docking, offers a </w:t>
      </w:r>
      <w:r w:rsidRPr="00B44278">
        <w:rPr>
          <w:rFonts w:ascii="Times New Roman" w:eastAsia="Times New Roman" w:hAnsi="Times New Roman" w:cs="Times New Roman"/>
          <w:sz w:val="24"/>
          <w:szCs w:val="24"/>
        </w:rPr>
        <w:t>reputable</w:t>
      </w:r>
      <w:r w:rsidR="00802A6C" w:rsidRPr="00B44278">
        <w:rPr>
          <w:rFonts w:ascii="Times New Roman" w:eastAsia="Times New Roman" w:hAnsi="Times New Roman" w:cs="Times New Roman"/>
          <w:sz w:val="24"/>
          <w:szCs w:val="24"/>
        </w:rPr>
        <w:t xml:space="preserve"> framework </w:t>
      </w:r>
      <w:r w:rsidRPr="00B44278">
        <w:rPr>
          <w:rFonts w:ascii="Times New Roman" w:eastAsia="Times New Roman" w:hAnsi="Times New Roman" w:cs="Times New Roman"/>
          <w:sz w:val="24"/>
          <w:szCs w:val="24"/>
        </w:rPr>
        <w:t xml:space="preserve">which helps </w:t>
      </w:r>
      <w:r w:rsidR="00802A6C" w:rsidRPr="00B44278">
        <w:rPr>
          <w:rFonts w:ascii="Times New Roman" w:eastAsia="Times New Roman" w:hAnsi="Times New Roman" w:cs="Times New Roman"/>
          <w:sz w:val="24"/>
          <w:szCs w:val="24"/>
        </w:rPr>
        <w:t>to predict drug-target interactions, map signaling networks, and identify</w:t>
      </w:r>
      <w:r w:rsidR="003728D4" w:rsidRPr="00B44278">
        <w:rPr>
          <w:rFonts w:ascii="Times New Roman" w:eastAsia="Times New Roman" w:hAnsi="Times New Roman" w:cs="Times New Roman"/>
          <w:sz w:val="24"/>
          <w:szCs w:val="24"/>
        </w:rPr>
        <w:t>ing</w:t>
      </w:r>
      <w:r w:rsidR="00802A6C" w:rsidRPr="00B44278">
        <w:rPr>
          <w:rFonts w:ascii="Times New Roman" w:eastAsia="Times New Roman" w:hAnsi="Times New Roman" w:cs="Times New Roman"/>
          <w:sz w:val="24"/>
          <w:szCs w:val="24"/>
        </w:rPr>
        <w:t xml:space="preserve"> synergistic pathways (Tuli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2022). By constructing compound-target-disease networks, it will reveal how luteolin modulates multiple hubs in CRC pathogenesis, such as apoptosis, angiogenesis, and cell cycle regulation. </w:t>
      </w:r>
      <w:r w:rsidR="000644BF" w:rsidRPr="00B44278">
        <w:rPr>
          <w:rFonts w:ascii="Times New Roman" w:eastAsia="Times New Roman" w:hAnsi="Times New Roman" w:cs="Times New Roman"/>
          <w:i/>
          <w:iCs/>
          <w:sz w:val="24"/>
          <w:szCs w:val="24"/>
        </w:rPr>
        <w:t>In vivo</w:t>
      </w:r>
      <w:r w:rsidR="00802A6C" w:rsidRPr="00B44278">
        <w:rPr>
          <w:rFonts w:ascii="Times New Roman" w:eastAsia="Times New Roman" w:hAnsi="Times New Roman" w:cs="Times New Roman"/>
          <w:sz w:val="24"/>
          <w:szCs w:val="24"/>
        </w:rPr>
        <w:t xml:space="preserve"> validation using </w:t>
      </w:r>
      <w:r w:rsidR="00802A6C" w:rsidRPr="00B44278">
        <w:rPr>
          <w:rFonts w:ascii="Times New Roman" w:eastAsia="Times New Roman" w:hAnsi="Times New Roman" w:cs="Times New Roman"/>
          <w:i/>
          <w:iCs/>
          <w:sz w:val="24"/>
          <w:szCs w:val="24"/>
        </w:rPr>
        <w:t>Drosophila melanogaster</w:t>
      </w:r>
      <w:r w:rsidR="00802A6C" w:rsidRPr="00B44278">
        <w:rPr>
          <w:rFonts w:ascii="Times New Roman" w:eastAsia="Times New Roman" w:hAnsi="Times New Roman" w:cs="Times New Roman"/>
          <w:sz w:val="24"/>
          <w:szCs w:val="24"/>
        </w:rPr>
        <w:t xml:space="preserve"> (Drosophila) - genetically tractable, cost-effective, and ethically favourable - further bridges computational predictions to biological outcomes. Drosophila shares above 75% of human disease genes, enabling rapid screening of hub genes like p53 or mTOR orthologues in CRC-like phenotypes (Sang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2024).</w:t>
      </w:r>
    </w:p>
    <w:p w14:paraId="28D422F3" w14:textId="05813ADB" w:rsidR="001469C4" w:rsidRPr="00B44278" w:rsidRDefault="00802A6C">
      <w:pPr>
        <w:spacing w:before="280" w:after="280" w:line="480" w:lineRule="auto"/>
        <w:jc w:val="both"/>
        <w:rPr>
          <w:rFonts w:ascii="Times New Roman" w:eastAsia="Times New Roman" w:hAnsi="Times New Roman" w:cs="Times New Roman"/>
          <w:b/>
          <w:bCs/>
          <w:sz w:val="24"/>
          <w:szCs w:val="24"/>
        </w:rPr>
      </w:pPr>
      <w:r w:rsidRPr="00B44278">
        <w:rPr>
          <w:rFonts w:ascii="Times New Roman" w:eastAsia="Times New Roman" w:hAnsi="Times New Roman" w:cs="Times New Roman"/>
          <w:sz w:val="24"/>
          <w:szCs w:val="24"/>
        </w:rPr>
        <w:t>This</w:t>
      </w:r>
      <w:r w:rsidR="003728D4" w:rsidRPr="00B44278">
        <w:rPr>
          <w:rFonts w:ascii="Times New Roman" w:eastAsia="Times New Roman" w:hAnsi="Times New Roman" w:cs="Times New Roman"/>
          <w:sz w:val="24"/>
          <w:szCs w:val="24"/>
        </w:rPr>
        <w:t xml:space="preserve"> study therefore employs NP</w:t>
      </w:r>
      <w:r w:rsidRPr="00B44278">
        <w:rPr>
          <w:rFonts w:ascii="Times New Roman" w:eastAsia="Times New Roman" w:hAnsi="Times New Roman" w:cs="Times New Roman"/>
          <w:sz w:val="24"/>
          <w:szCs w:val="24"/>
        </w:rPr>
        <w:t xml:space="preserve"> to </w:t>
      </w:r>
      <w:r w:rsidR="003728D4" w:rsidRPr="00B44278">
        <w:rPr>
          <w:rFonts w:ascii="Times New Roman" w:eastAsia="Times New Roman" w:hAnsi="Times New Roman" w:cs="Times New Roman"/>
          <w:sz w:val="24"/>
          <w:szCs w:val="24"/>
        </w:rPr>
        <w:t xml:space="preserve">investigate </w:t>
      </w:r>
      <w:r w:rsidRPr="00B44278">
        <w:rPr>
          <w:rFonts w:ascii="Times New Roman" w:eastAsia="Times New Roman" w:hAnsi="Times New Roman" w:cs="Times New Roman"/>
          <w:sz w:val="24"/>
          <w:szCs w:val="24"/>
        </w:rPr>
        <w:t xml:space="preserve">luteolin's multi-target mechanisms against CRC, followed by </w:t>
      </w:r>
      <w:r w:rsidR="000644BF" w:rsidRPr="00B44278">
        <w:rPr>
          <w:rFonts w:ascii="Times New Roman" w:eastAsia="Times New Roman" w:hAnsi="Times New Roman" w:cs="Times New Roman"/>
          <w:i/>
          <w:iCs/>
          <w:sz w:val="24"/>
          <w:szCs w:val="24"/>
        </w:rPr>
        <w:t>In vivo</w:t>
      </w:r>
      <w:r w:rsidRPr="00B44278">
        <w:rPr>
          <w:rFonts w:ascii="Times New Roman" w:eastAsia="Times New Roman" w:hAnsi="Times New Roman" w:cs="Times New Roman"/>
          <w:sz w:val="24"/>
          <w:szCs w:val="24"/>
        </w:rPr>
        <w:t xml:space="preserve"> validation on hub genes using the Drosophila model. By addressing the gaps in single-target research, the study aims to establish luteolin as a safe, multi-pathway </w:t>
      </w:r>
      <w:r w:rsidRPr="00B44278">
        <w:rPr>
          <w:rFonts w:ascii="Times New Roman" w:eastAsia="Times New Roman" w:hAnsi="Times New Roman" w:cs="Times New Roman"/>
          <w:sz w:val="24"/>
          <w:szCs w:val="24"/>
        </w:rPr>
        <w:lastRenderedPageBreak/>
        <w:t>therapeutic candidate, potentially reducing reliance on toxic chemotherapies and improving outcomes in high-burden regions like Nigeria.</w:t>
      </w:r>
    </w:p>
    <w:p w14:paraId="6D4D7C19" w14:textId="77777777" w:rsidR="001469C4" w:rsidRPr="00B44278" w:rsidRDefault="00802A6C" w:rsidP="005177A2">
      <w:pPr>
        <w:pStyle w:val="Heading8"/>
        <w:rPr>
          <w:rFonts w:eastAsia="Times New Roman" w:cs="Times New Roman"/>
          <w:szCs w:val="24"/>
        </w:rPr>
      </w:pPr>
      <w:r w:rsidRPr="00B44278">
        <w:rPr>
          <w:rFonts w:eastAsia="Times New Roman" w:cs="Times New Roman"/>
          <w:szCs w:val="24"/>
        </w:rPr>
        <w:t>1.2</w:t>
      </w:r>
      <w:r w:rsidRPr="00B44278">
        <w:rPr>
          <w:rFonts w:eastAsia="Times New Roman" w:cs="Times New Roman"/>
          <w:szCs w:val="24"/>
        </w:rPr>
        <w:tab/>
        <w:t>Statement of the Problem</w:t>
      </w:r>
    </w:p>
    <w:p w14:paraId="650D938B" w14:textId="51A734F8" w:rsidR="00225E5F" w:rsidRPr="00B44278" w:rsidRDefault="00225E5F" w:rsidP="00225E5F">
      <w:pPr>
        <w:spacing w:line="480" w:lineRule="auto"/>
        <w:jc w:val="both"/>
        <w:rPr>
          <w:rFonts w:ascii="Times New Roman" w:hAnsi="Times New Roman" w:cs="Times New Roman"/>
          <w:sz w:val="24"/>
          <w:szCs w:val="24"/>
        </w:rPr>
      </w:pPr>
      <w:r w:rsidRPr="00B44278">
        <w:rPr>
          <w:rStyle w:val="cursor-pointer"/>
          <w:rFonts w:ascii="Times New Roman" w:hAnsi="Times New Roman" w:cs="Times New Roman"/>
          <w:sz w:val="24"/>
          <w:szCs w:val="24"/>
        </w:rPr>
        <w:t xml:space="preserve">CRC is a growing public health problem, and its increasing incidence and mortality is a major concern in LMICs (Singh </w:t>
      </w:r>
      <w:r w:rsidR="00424714" w:rsidRPr="00B44278">
        <w:rPr>
          <w:rStyle w:val="cursor-pointer"/>
          <w:rFonts w:ascii="Times New Roman" w:hAnsi="Times New Roman" w:cs="Times New Roman"/>
          <w:i/>
          <w:sz w:val="24"/>
          <w:szCs w:val="24"/>
        </w:rPr>
        <w:t>et al</w:t>
      </w:r>
      <w:r w:rsidRPr="00B44278">
        <w:rPr>
          <w:rStyle w:val="cursor-pointer"/>
          <w:rFonts w:ascii="Times New Roman" w:hAnsi="Times New Roman" w:cs="Times New Roman"/>
          <w:sz w:val="24"/>
          <w:szCs w:val="24"/>
        </w:rPr>
        <w:t>., 2024).</w:t>
      </w:r>
      <w:r w:rsidRPr="00B44278">
        <w:rPr>
          <w:rFonts w:ascii="Times New Roman" w:hAnsi="Times New Roman" w:cs="Times New Roman"/>
          <w:sz w:val="24"/>
          <w:szCs w:val="24"/>
        </w:rPr>
        <w:t xml:space="preserve"> </w:t>
      </w:r>
      <w:r w:rsidRPr="00B44278">
        <w:rPr>
          <w:rStyle w:val="cursor-pointer"/>
          <w:rFonts w:ascii="Times New Roman" w:hAnsi="Times New Roman" w:cs="Times New Roman"/>
          <w:sz w:val="24"/>
          <w:szCs w:val="24"/>
        </w:rPr>
        <w:t xml:space="preserve">However, current therapeutic options face limitations - these treatments have serious side effects that negatively impact patient QoL, especially vulnerable populations (Adebayo </w:t>
      </w:r>
      <w:r w:rsidR="00424714" w:rsidRPr="00B44278">
        <w:rPr>
          <w:rStyle w:val="cursor-pointer"/>
          <w:rFonts w:ascii="Times New Roman" w:hAnsi="Times New Roman" w:cs="Times New Roman"/>
          <w:i/>
          <w:sz w:val="24"/>
          <w:szCs w:val="24"/>
        </w:rPr>
        <w:t>et al</w:t>
      </w:r>
      <w:r w:rsidRPr="00B44278">
        <w:rPr>
          <w:rStyle w:val="cursor-pointer"/>
          <w:rFonts w:ascii="Times New Roman" w:hAnsi="Times New Roman" w:cs="Times New Roman"/>
          <w:sz w:val="24"/>
          <w:szCs w:val="24"/>
        </w:rPr>
        <w:t>., 2023).</w:t>
      </w:r>
      <w:r w:rsidRPr="00B44278">
        <w:rPr>
          <w:rFonts w:ascii="Times New Roman" w:hAnsi="Times New Roman" w:cs="Times New Roman"/>
          <w:sz w:val="24"/>
          <w:szCs w:val="24"/>
        </w:rPr>
        <w:t xml:space="preserve"> </w:t>
      </w:r>
      <w:r w:rsidRPr="00B44278">
        <w:rPr>
          <w:rStyle w:val="cursor-pointer"/>
          <w:rFonts w:ascii="Times New Roman" w:hAnsi="Times New Roman" w:cs="Times New Roman"/>
          <w:sz w:val="24"/>
          <w:szCs w:val="24"/>
        </w:rPr>
        <w:t xml:space="preserve">Furthermore, their high prices mean that they are inaccessible in LMICs (Alatise </w:t>
      </w:r>
      <w:r w:rsidR="00424714" w:rsidRPr="00B44278">
        <w:rPr>
          <w:rStyle w:val="cursor-pointer"/>
          <w:rFonts w:ascii="Times New Roman" w:hAnsi="Times New Roman" w:cs="Times New Roman"/>
          <w:i/>
          <w:sz w:val="24"/>
          <w:szCs w:val="24"/>
        </w:rPr>
        <w:t>et al</w:t>
      </w:r>
      <w:r w:rsidRPr="00B44278">
        <w:rPr>
          <w:rStyle w:val="cursor-pointer"/>
          <w:rFonts w:ascii="Times New Roman" w:hAnsi="Times New Roman" w:cs="Times New Roman"/>
          <w:sz w:val="24"/>
          <w:szCs w:val="24"/>
        </w:rPr>
        <w:t>., 2025), where healthcare infrastructure is often weak.</w:t>
      </w:r>
      <w:r w:rsidRPr="00B44278">
        <w:rPr>
          <w:rFonts w:ascii="Times New Roman" w:hAnsi="Times New Roman" w:cs="Times New Roman"/>
          <w:sz w:val="24"/>
          <w:szCs w:val="24"/>
        </w:rPr>
        <w:t xml:space="preserve"> </w:t>
      </w:r>
      <w:r w:rsidRPr="00B44278">
        <w:rPr>
          <w:rStyle w:val="cursor-pointer"/>
          <w:rFonts w:ascii="Times New Roman" w:hAnsi="Times New Roman" w:cs="Times New Roman"/>
          <w:sz w:val="24"/>
          <w:szCs w:val="24"/>
        </w:rPr>
        <w:t xml:space="preserve">However, in a significant fraction of patients, resistance to targeted therapies is mediated by genetic changes in pathways which further decreases the effectiveness of these drugs, and there are few treatment options for advanced CRC with a poor prognosis (Moen </w:t>
      </w:r>
      <w:r w:rsidR="00424714" w:rsidRPr="00B44278">
        <w:rPr>
          <w:rStyle w:val="cursor-pointer"/>
          <w:rFonts w:ascii="Times New Roman" w:hAnsi="Times New Roman" w:cs="Times New Roman"/>
          <w:i/>
          <w:sz w:val="24"/>
          <w:szCs w:val="24"/>
        </w:rPr>
        <w:t>et al</w:t>
      </w:r>
      <w:r w:rsidRPr="00B44278">
        <w:rPr>
          <w:rStyle w:val="cursor-pointer"/>
          <w:rFonts w:ascii="Times New Roman" w:hAnsi="Times New Roman" w:cs="Times New Roman"/>
          <w:sz w:val="24"/>
          <w:szCs w:val="24"/>
        </w:rPr>
        <w:t>., 2024).</w:t>
      </w:r>
      <w:r w:rsidRPr="00B44278">
        <w:rPr>
          <w:rFonts w:ascii="Times New Roman" w:hAnsi="Times New Roman" w:cs="Times New Roman"/>
          <w:sz w:val="24"/>
          <w:szCs w:val="24"/>
        </w:rPr>
        <w:t xml:space="preserve"> </w:t>
      </w:r>
    </w:p>
    <w:p w14:paraId="05D6F6AD" w14:textId="42297705" w:rsidR="00225E5F" w:rsidRPr="00B44278" w:rsidRDefault="00225E5F" w:rsidP="00225E5F">
      <w:pPr>
        <w:spacing w:line="480" w:lineRule="auto"/>
        <w:jc w:val="both"/>
        <w:rPr>
          <w:rFonts w:ascii="Times New Roman" w:hAnsi="Times New Roman" w:cs="Times New Roman"/>
          <w:sz w:val="24"/>
          <w:szCs w:val="24"/>
        </w:rPr>
      </w:pPr>
      <w:r w:rsidRPr="00B44278">
        <w:rPr>
          <w:rStyle w:val="cursor-pointer"/>
          <w:rFonts w:ascii="Times New Roman" w:hAnsi="Times New Roman" w:cs="Times New Roman"/>
          <w:sz w:val="24"/>
          <w:szCs w:val="24"/>
        </w:rPr>
        <w:t>Phytochemicals have the potential to be used as anti-CRC agents, because they are widely available and relatively inexpensive; however, their use is hindered by a lack of understanding of the molecular mechanisms involved.</w:t>
      </w:r>
      <w:r w:rsidRPr="00B44278">
        <w:rPr>
          <w:rFonts w:ascii="Times New Roman" w:hAnsi="Times New Roman" w:cs="Times New Roman"/>
          <w:sz w:val="24"/>
          <w:szCs w:val="24"/>
        </w:rPr>
        <w:t xml:space="preserve"> </w:t>
      </w:r>
      <w:r w:rsidRPr="00B44278">
        <w:rPr>
          <w:rStyle w:val="cursor-pointer"/>
          <w:rFonts w:ascii="Times New Roman" w:hAnsi="Times New Roman" w:cs="Times New Roman"/>
          <w:sz w:val="24"/>
          <w:szCs w:val="24"/>
        </w:rPr>
        <w:t xml:space="preserve">Pre-clinical studies suggest that luteolin, a naturally occurring flavonoid, possesses anti-inflammatory, antioxidant, and tumor growth inhibitory properties, indicating its potential benefits (Imran </w:t>
      </w:r>
      <w:r w:rsidR="00424714" w:rsidRPr="00B44278">
        <w:rPr>
          <w:rStyle w:val="cursor-pointer"/>
          <w:rFonts w:ascii="Times New Roman" w:hAnsi="Times New Roman" w:cs="Times New Roman"/>
          <w:i/>
          <w:sz w:val="24"/>
          <w:szCs w:val="24"/>
        </w:rPr>
        <w:t>et al</w:t>
      </w:r>
      <w:r w:rsidRPr="00B44278">
        <w:rPr>
          <w:rStyle w:val="cursor-pointer"/>
          <w:rFonts w:ascii="Times New Roman" w:hAnsi="Times New Roman" w:cs="Times New Roman"/>
          <w:sz w:val="24"/>
          <w:szCs w:val="24"/>
        </w:rPr>
        <w:t xml:space="preserve">., 2019; Ganai </w:t>
      </w:r>
      <w:r w:rsidR="00424714" w:rsidRPr="00B44278">
        <w:rPr>
          <w:rStyle w:val="cursor-pointer"/>
          <w:rFonts w:ascii="Times New Roman" w:hAnsi="Times New Roman" w:cs="Times New Roman"/>
          <w:i/>
          <w:sz w:val="24"/>
          <w:szCs w:val="24"/>
        </w:rPr>
        <w:t>et al</w:t>
      </w:r>
      <w:r w:rsidRPr="00B44278">
        <w:rPr>
          <w:rStyle w:val="cursor-pointer"/>
          <w:rFonts w:ascii="Times New Roman" w:hAnsi="Times New Roman" w:cs="Times New Roman"/>
          <w:sz w:val="24"/>
          <w:szCs w:val="24"/>
        </w:rPr>
        <w:t xml:space="preserve">., 2021; Almatroodi </w:t>
      </w:r>
      <w:r w:rsidR="00424714" w:rsidRPr="00B44278">
        <w:rPr>
          <w:rStyle w:val="cursor-pointer"/>
          <w:rFonts w:ascii="Times New Roman" w:hAnsi="Times New Roman" w:cs="Times New Roman"/>
          <w:i/>
          <w:sz w:val="24"/>
          <w:szCs w:val="24"/>
        </w:rPr>
        <w:t>et al</w:t>
      </w:r>
      <w:r w:rsidRPr="00B44278">
        <w:rPr>
          <w:rStyle w:val="cursor-pointer"/>
          <w:rFonts w:ascii="Times New Roman" w:hAnsi="Times New Roman" w:cs="Times New Roman"/>
          <w:i/>
          <w:sz w:val="24"/>
          <w:szCs w:val="24"/>
        </w:rPr>
        <w:t>.,</w:t>
      </w:r>
      <w:r w:rsidRPr="00B44278">
        <w:rPr>
          <w:rStyle w:val="cursor-pointer"/>
          <w:rFonts w:ascii="Times New Roman" w:hAnsi="Times New Roman" w:cs="Times New Roman"/>
          <w:sz w:val="24"/>
          <w:szCs w:val="24"/>
        </w:rPr>
        <w:t xml:space="preserve"> 2024).</w:t>
      </w:r>
      <w:r w:rsidRPr="00B44278">
        <w:rPr>
          <w:rFonts w:ascii="Times New Roman" w:hAnsi="Times New Roman" w:cs="Times New Roman"/>
          <w:sz w:val="24"/>
          <w:szCs w:val="24"/>
        </w:rPr>
        <w:t xml:space="preserve"> </w:t>
      </w:r>
      <w:r w:rsidRPr="00B44278">
        <w:rPr>
          <w:rStyle w:val="cursor-pointer"/>
          <w:rFonts w:ascii="Times New Roman" w:hAnsi="Times New Roman" w:cs="Times New Roman"/>
          <w:sz w:val="24"/>
          <w:szCs w:val="24"/>
        </w:rPr>
        <w:t>But the exact molecular targets and pathways that luteolin influences in CRC are not well characterized, hindering its progress to clinical use.</w:t>
      </w:r>
      <w:r w:rsidRPr="00B44278">
        <w:rPr>
          <w:rFonts w:ascii="Times New Roman" w:hAnsi="Times New Roman" w:cs="Times New Roman"/>
          <w:sz w:val="24"/>
          <w:szCs w:val="24"/>
        </w:rPr>
        <w:t xml:space="preserve"> </w:t>
      </w:r>
      <w:r w:rsidRPr="00B44278">
        <w:rPr>
          <w:rStyle w:val="cursor-pointer"/>
          <w:rFonts w:ascii="Times New Roman" w:hAnsi="Times New Roman" w:cs="Times New Roman"/>
          <w:sz w:val="24"/>
          <w:szCs w:val="24"/>
        </w:rPr>
        <w:t>In contrast, traditional drug discovery strategies are typically targeted towards single molecular targets and are not well suited to the multi-target actions of phytochemicals such as luteolin.</w:t>
      </w:r>
      <w:r w:rsidRPr="00B44278">
        <w:rPr>
          <w:rFonts w:ascii="Times New Roman" w:hAnsi="Times New Roman" w:cs="Times New Roman"/>
          <w:sz w:val="24"/>
          <w:szCs w:val="24"/>
        </w:rPr>
        <w:t xml:space="preserve"> </w:t>
      </w:r>
    </w:p>
    <w:p w14:paraId="46DB9DD1" w14:textId="4E412B2A" w:rsidR="00225E5F" w:rsidRPr="00B44278" w:rsidRDefault="00225E5F" w:rsidP="00225E5F">
      <w:pPr>
        <w:spacing w:line="480" w:lineRule="auto"/>
        <w:jc w:val="both"/>
        <w:rPr>
          <w:rStyle w:val="cursor-pointer"/>
          <w:rFonts w:ascii="Times New Roman" w:hAnsi="Times New Roman" w:cs="Times New Roman"/>
          <w:sz w:val="24"/>
          <w:szCs w:val="24"/>
        </w:rPr>
      </w:pPr>
      <w:r w:rsidRPr="00B44278">
        <w:rPr>
          <w:rStyle w:val="cursor-pointer"/>
          <w:rFonts w:ascii="Times New Roman" w:hAnsi="Times New Roman" w:cs="Times New Roman"/>
          <w:sz w:val="24"/>
          <w:szCs w:val="24"/>
        </w:rPr>
        <w:t>Mammalian models are useful for detailed information, but are costly, have long experiments duration and are genetically complex to be useful for large-scale and rapid testing.</w:t>
      </w:r>
      <w:r w:rsidRPr="00B44278">
        <w:rPr>
          <w:rFonts w:ascii="Times New Roman" w:hAnsi="Times New Roman" w:cs="Times New Roman"/>
          <w:sz w:val="24"/>
          <w:szCs w:val="24"/>
        </w:rPr>
        <w:t xml:space="preserve"> </w:t>
      </w:r>
      <w:r w:rsidRPr="00B44278">
        <w:rPr>
          <w:rStyle w:val="cursor-pointer"/>
          <w:rFonts w:ascii="Times New Roman" w:hAnsi="Times New Roman" w:cs="Times New Roman"/>
          <w:sz w:val="24"/>
          <w:szCs w:val="24"/>
        </w:rPr>
        <w:t xml:space="preserve">The genetic conservation with human species, negligible redundancy and high-throughput in </w:t>
      </w:r>
      <w:r w:rsidRPr="00B44278">
        <w:rPr>
          <w:rStyle w:val="cursor-pointer"/>
          <w:rFonts w:ascii="Times New Roman" w:hAnsi="Times New Roman" w:cs="Times New Roman"/>
          <w:sz w:val="24"/>
          <w:szCs w:val="24"/>
        </w:rPr>
        <w:lastRenderedPageBreak/>
        <w:t xml:space="preserve">Drosophila have not been fully exploited for CRC research, which can help to connect </w:t>
      </w:r>
      <w:r w:rsidRPr="00B44278">
        <w:rPr>
          <w:rStyle w:val="cursor-pointer"/>
          <w:rFonts w:ascii="Times New Roman" w:hAnsi="Times New Roman" w:cs="Times New Roman"/>
          <w:i/>
          <w:sz w:val="24"/>
          <w:szCs w:val="24"/>
        </w:rPr>
        <w:t>In silico</w:t>
      </w:r>
      <w:r w:rsidRPr="00B44278">
        <w:rPr>
          <w:rStyle w:val="cursor-pointer"/>
          <w:rFonts w:ascii="Times New Roman" w:hAnsi="Times New Roman" w:cs="Times New Roman"/>
          <w:sz w:val="24"/>
          <w:szCs w:val="24"/>
        </w:rPr>
        <w:t xml:space="preserve"> predictions with clinical studies (Yang </w:t>
      </w:r>
      <w:r w:rsidR="00424714" w:rsidRPr="00B44278">
        <w:rPr>
          <w:rStyle w:val="cursor-pointer"/>
          <w:rFonts w:ascii="Times New Roman" w:hAnsi="Times New Roman" w:cs="Times New Roman"/>
          <w:i/>
          <w:sz w:val="24"/>
          <w:szCs w:val="24"/>
        </w:rPr>
        <w:t>et al</w:t>
      </w:r>
      <w:r w:rsidRPr="00B44278">
        <w:rPr>
          <w:rStyle w:val="cursor-pointer"/>
          <w:rFonts w:ascii="Times New Roman" w:hAnsi="Times New Roman" w:cs="Times New Roman"/>
          <w:sz w:val="24"/>
          <w:szCs w:val="24"/>
        </w:rPr>
        <w:t>., 2024).</w:t>
      </w:r>
      <w:r w:rsidRPr="00B44278">
        <w:rPr>
          <w:rFonts w:ascii="Times New Roman" w:hAnsi="Times New Roman" w:cs="Times New Roman"/>
          <w:sz w:val="24"/>
          <w:szCs w:val="24"/>
        </w:rPr>
        <w:t xml:space="preserve"> </w:t>
      </w:r>
      <w:r w:rsidRPr="00B44278">
        <w:rPr>
          <w:rStyle w:val="cursor-pointer"/>
          <w:rFonts w:ascii="Times New Roman" w:hAnsi="Times New Roman" w:cs="Times New Roman"/>
          <w:sz w:val="24"/>
          <w:szCs w:val="24"/>
        </w:rPr>
        <w:t>This study aimed to overcome these limitations by using NP to build the molecular network of luteolin in CRC and by measuring its therapeutic effects in Drosophila.</w:t>
      </w:r>
      <w:r w:rsidRPr="00B44278">
        <w:rPr>
          <w:rFonts w:ascii="Times New Roman" w:hAnsi="Times New Roman" w:cs="Times New Roman"/>
          <w:sz w:val="24"/>
          <w:szCs w:val="24"/>
        </w:rPr>
        <w:t xml:space="preserve"> </w:t>
      </w:r>
    </w:p>
    <w:p w14:paraId="3F647712" w14:textId="77777777" w:rsidR="001469C4" w:rsidRPr="00B44278" w:rsidRDefault="00802A6C" w:rsidP="00537B78">
      <w:pPr>
        <w:pStyle w:val="Heading8"/>
        <w:rPr>
          <w:rFonts w:eastAsia="Times New Roman" w:cs="Times New Roman"/>
          <w:szCs w:val="24"/>
        </w:rPr>
      </w:pPr>
      <w:r w:rsidRPr="00B44278">
        <w:rPr>
          <w:rFonts w:eastAsia="Times New Roman" w:cs="Times New Roman"/>
          <w:szCs w:val="24"/>
        </w:rPr>
        <w:t>1.3 Justification of the Study</w:t>
      </w:r>
    </w:p>
    <w:p w14:paraId="01D3DD6E" w14:textId="435FD115" w:rsidR="00225E5F" w:rsidRPr="00B44278" w:rsidRDefault="00225E5F" w:rsidP="00225E5F">
      <w:pPr>
        <w:spacing w:line="480" w:lineRule="auto"/>
        <w:jc w:val="both"/>
        <w:rPr>
          <w:rFonts w:ascii="Times New Roman" w:hAnsi="Times New Roman" w:cs="Times New Roman"/>
          <w:sz w:val="24"/>
          <w:szCs w:val="24"/>
        </w:rPr>
      </w:pPr>
      <w:r w:rsidRPr="00B44278">
        <w:rPr>
          <w:rStyle w:val="cursor-pointer"/>
          <w:rFonts w:ascii="Times New Roman" w:hAnsi="Times New Roman" w:cs="Times New Roman"/>
          <w:sz w:val="24"/>
          <w:szCs w:val="24"/>
        </w:rPr>
        <w:t xml:space="preserve">There is a global surge in the incidence of CRC which requires immediate efforts to develop therapies that are readily available and less toxic, particularly in LMICs where healthcare inequities increase mortality rates (Adebayo </w:t>
      </w:r>
      <w:r w:rsidR="00424714" w:rsidRPr="00B44278">
        <w:rPr>
          <w:rStyle w:val="cursor-pointer"/>
          <w:rFonts w:ascii="Times New Roman" w:hAnsi="Times New Roman" w:cs="Times New Roman"/>
          <w:i/>
          <w:sz w:val="24"/>
          <w:szCs w:val="24"/>
        </w:rPr>
        <w:t>et al</w:t>
      </w:r>
      <w:r w:rsidRPr="00B44278">
        <w:rPr>
          <w:rStyle w:val="cursor-pointer"/>
          <w:rFonts w:ascii="Times New Roman" w:hAnsi="Times New Roman" w:cs="Times New Roman"/>
          <w:sz w:val="24"/>
          <w:szCs w:val="24"/>
        </w:rPr>
        <w:t>., 2023).</w:t>
      </w:r>
      <w:r w:rsidRPr="00B44278">
        <w:rPr>
          <w:rFonts w:ascii="Times New Roman" w:hAnsi="Times New Roman" w:cs="Times New Roman"/>
          <w:sz w:val="24"/>
          <w:szCs w:val="24"/>
        </w:rPr>
        <w:t xml:space="preserve"> </w:t>
      </w:r>
      <w:r w:rsidRPr="00B44278">
        <w:rPr>
          <w:rStyle w:val="cursor-pointer"/>
          <w:rFonts w:ascii="Times New Roman" w:hAnsi="Times New Roman" w:cs="Times New Roman"/>
          <w:sz w:val="24"/>
          <w:szCs w:val="24"/>
        </w:rPr>
        <w:t xml:space="preserve">Current CRC treatments such as chemotherapy and targeted therapies can have significant side effects, financial costs and genetic mutations causing resistance, making them unavailable to many patients and not accessible in LMICs </w:t>
      </w:r>
      <w:r w:rsidRPr="00B44278">
        <w:rPr>
          <w:rFonts w:ascii="Times New Roman" w:eastAsia="Times New Roman" w:hAnsi="Times New Roman" w:cs="Times New Roman"/>
          <w:sz w:val="24"/>
          <w:szCs w:val="24"/>
        </w:rPr>
        <w:t xml:space="preserve">(Almatroodi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2024)</w:t>
      </w:r>
      <w:r w:rsidRPr="00B44278">
        <w:rPr>
          <w:rStyle w:val="cursor-pointer"/>
          <w:rFonts w:ascii="Times New Roman" w:hAnsi="Times New Roman" w:cs="Times New Roman"/>
          <w:sz w:val="24"/>
          <w:szCs w:val="24"/>
        </w:rPr>
        <w:t>.</w:t>
      </w:r>
      <w:r w:rsidRPr="00B44278">
        <w:rPr>
          <w:rFonts w:ascii="Times New Roman" w:hAnsi="Times New Roman" w:cs="Times New Roman"/>
          <w:sz w:val="24"/>
          <w:szCs w:val="24"/>
        </w:rPr>
        <w:t xml:space="preserve"> </w:t>
      </w:r>
      <w:r w:rsidRPr="00B44278">
        <w:rPr>
          <w:rStyle w:val="cursor-pointer"/>
          <w:rFonts w:ascii="Times New Roman" w:hAnsi="Times New Roman" w:cs="Times New Roman"/>
          <w:sz w:val="24"/>
          <w:szCs w:val="24"/>
        </w:rPr>
        <w:t>Phytochemicals such as luteolin, a flavonoid with demonstrated anticancer, anti-inflammatory and antioxidant activity, provide an attractive alternative, as they are relatively inexpensive, and have multiple targets.</w:t>
      </w:r>
      <w:r w:rsidRPr="00B44278">
        <w:rPr>
          <w:rFonts w:ascii="Times New Roman" w:hAnsi="Times New Roman" w:cs="Times New Roman"/>
          <w:sz w:val="24"/>
          <w:szCs w:val="24"/>
        </w:rPr>
        <w:t xml:space="preserve"> </w:t>
      </w:r>
      <w:r w:rsidRPr="00B44278">
        <w:rPr>
          <w:rStyle w:val="cursor-pointer"/>
          <w:rFonts w:ascii="Times New Roman" w:hAnsi="Times New Roman" w:cs="Times New Roman"/>
          <w:sz w:val="24"/>
          <w:szCs w:val="24"/>
        </w:rPr>
        <w:t xml:space="preserve">Although luteolin has demonstrated anti-carcinogenic properties in preclinical research, its precise molecular mechanisms in CRC pathways remain largely unclear, hindering its clinical development. The molecular interactions of luteolin with CRC pathways are not well understood and require further investigation to support its clinical advancement </w:t>
      </w:r>
      <w:r w:rsidRPr="00B44278">
        <w:rPr>
          <w:rFonts w:ascii="Times New Roman" w:eastAsia="Times New Roman" w:hAnsi="Times New Roman" w:cs="Times New Roman"/>
          <w:sz w:val="24"/>
          <w:szCs w:val="24"/>
        </w:rPr>
        <w:t xml:space="preserve">(Almatroodi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2024)</w:t>
      </w:r>
      <w:r w:rsidRPr="00B44278">
        <w:rPr>
          <w:rStyle w:val="cursor-pointer"/>
          <w:rFonts w:ascii="Times New Roman" w:hAnsi="Times New Roman" w:cs="Times New Roman"/>
          <w:sz w:val="24"/>
          <w:szCs w:val="24"/>
        </w:rPr>
        <w:t>.</w:t>
      </w:r>
      <w:r w:rsidRPr="00B44278">
        <w:rPr>
          <w:rFonts w:ascii="Times New Roman" w:hAnsi="Times New Roman" w:cs="Times New Roman"/>
          <w:sz w:val="24"/>
          <w:szCs w:val="24"/>
        </w:rPr>
        <w:t xml:space="preserve"> </w:t>
      </w:r>
    </w:p>
    <w:p w14:paraId="37E271B2" w14:textId="63112099" w:rsidR="00225E5F" w:rsidRPr="00B44278" w:rsidRDefault="00225E5F" w:rsidP="00225E5F">
      <w:pPr>
        <w:spacing w:line="480" w:lineRule="auto"/>
        <w:jc w:val="both"/>
        <w:rPr>
          <w:rFonts w:ascii="Times New Roman" w:hAnsi="Times New Roman" w:cs="Times New Roman"/>
          <w:sz w:val="24"/>
          <w:szCs w:val="24"/>
        </w:rPr>
      </w:pPr>
      <w:r w:rsidRPr="00B44278">
        <w:rPr>
          <w:rStyle w:val="cursor-pointer"/>
          <w:rFonts w:ascii="Times New Roman" w:hAnsi="Times New Roman" w:cs="Times New Roman"/>
          <w:sz w:val="24"/>
          <w:szCs w:val="24"/>
        </w:rPr>
        <w:t>The traditional single-target drug discovery strategy is not suitable for finding all the effects of luteolin, so the network pharmacology is used to map the interactome of luteolin.</w:t>
      </w:r>
      <w:r w:rsidRPr="00B44278">
        <w:rPr>
          <w:rFonts w:ascii="Times New Roman" w:hAnsi="Times New Roman" w:cs="Times New Roman"/>
          <w:sz w:val="24"/>
          <w:szCs w:val="24"/>
        </w:rPr>
        <w:t xml:space="preserve"> </w:t>
      </w:r>
      <w:r w:rsidRPr="00B44278">
        <w:rPr>
          <w:rStyle w:val="cursor-pointer"/>
          <w:rFonts w:ascii="Times New Roman" w:hAnsi="Times New Roman" w:cs="Times New Roman"/>
          <w:sz w:val="24"/>
          <w:szCs w:val="24"/>
        </w:rPr>
        <w:t>Furthermore, there are no affordable and high throughput In vivo models available, which limits preclinical validation.</w:t>
      </w:r>
      <w:r w:rsidRPr="00B44278">
        <w:rPr>
          <w:rFonts w:ascii="Times New Roman" w:hAnsi="Times New Roman" w:cs="Times New Roman"/>
          <w:sz w:val="24"/>
          <w:szCs w:val="24"/>
        </w:rPr>
        <w:t xml:space="preserve"> </w:t>
      </w:r>
      <w:r w:rsidRPr="00B44278">
        <w:rPr>
          <w:rStyle w:val="cursor-pointer"/>
          <w:rFonts w:ascii="Times New Roman" w:hAnsi="Times New Roman" w:cs="Times New Roman"/>
          <w:sz w:val="24"/>
          <w:szCs w:val="24"/>
        </w:rPr>
        <w:t xml:space="preserve">Drosophila is an often overlooked but ideal platform for CRC drug testing due to its high percentage of human disease gene orthologs, little genetic redundancy, and low cost, rapid screening (Yang </w:t>
      </w:r>
      <w:r w:rsidR="00424714" w:rsidRPr="00B44278">
        <w:rPr>
          <w:rStyle w:val="cursor-pointer"/>
          <w:rFonts w:ascii="Times New Roman" w:hAnsi="Times New Roman" w:cs="Times New Roman"/>
          <w:i/>
          <w:sz w:val="24"/>
          <w:szCs w:val="24"/>
        </w:rPr>
        <w:t>et al</w:t>
      </w:r>
      <w:r w:rsidRPr="00B44278">
        <w:rPr>
          <w:rStyle w:val="cursor-pointer"/>
          <w:rFonts w:ascii="Times New Roman" w:hAnsi="Times New Roman" w:cs="Times New Roman"/>
          <w:i/>
          <w:sz w:val="24"/>
          <w:szCs w:val="24"/>
        </w:rPr>
        <w:t>.,</w:t>
      </w:r>
      <w:r w:rsidRPr="00B44278">
        <w:rPr>
          <w:rStyle w:val="cursor-pointer"/>
          <w:rFonts w:ascii="Times New Roman" w:hAnsi="Times New Roman" w:cs="Times New Roman"/>
          <w:sz w:val="24"/>
          <w:szCs w:val="24"/>
        </w:rPr>
        <w:t xml:space="preserve"> 2024).</w:t>
      </w:r>
      <w:r w:rsidRPr="00B44278">
        <w:rPr>
          <w:rFonts w:ascii="Times New Roman" w:hAnsi="Times New Roman" w:cs="Times New Roman"/>
          <w:sz w:val="24"/>
          <w:szCs w:val="24"/>
        </w:rPr>
        <w:t xml:space="preserve"> </w:t>
      </w:r>
      <w:r w:rsidRPr="00B44278">
        <w:rPr>
          <w:rStyle w:val="cursor-pointer"/>
          <w:rFonts w:ascii="Times New Roman" w:hAnsi="Times New Roman" w:cs="Times New Roman"/>
          <w:sz w:val="24"/>
          <w:szCs w:val="24"/>
        </w:rPr>
        <w:t xml:space="preserve">The selection of the focus of this study is justified by the integration of network pharmacology and Drosophila models to </w:t>
      </w:r>
      <w:r w:rsidRPr="00B44278">
        <w:rPr>
          <w:rStyle w:val="cursor-pointer"/>
          <w:rFonts w:ascii="Times New Roman" w:hAnsi="Times New Roman" w:cs="Times New Roman"/>
          <w:sz w:val="24"/>
          <w:szCs w:val="24"/>
        </w:rPr>
        <w:lastRenderedPageBreak/>
        <w:t>gain insight into luteolin's anti-CRC potential, which is supported by preclinical evidence that will aid the development of luteolin as an accessible therapy for global CRC management.</w:t>
      </w:r>
    </w:p>
    <w:p w14:paraId="0DC765E9" w14:textId="6F56E73D" w:rsidR="001469C4" w:rsidRPr="00B44278" w:rsidRDefault="00802A6C" w:rsidP="00585772">
      <w:pPr>
        <w:pBdr>
          <w:top w:val="nil"/>
          <w:left w:val="nil"/>
          <w:bottom w:val="nil"/>
          <w:right w:val="nil"/>
          <w:between w:val="nil"/>
        </w:pBdr>
        <w:spacing w:before="280" w:after="280" w:line="480" w:lineRule="auto"/>
        <w:jc w:val="both"/>
        <w:rPr>
          <w:rFonts w:ascii="Times New Roman" w:eastAsia="Times New Roman" w:hAnsi="Times New Roman" w:cs="Times New Roman"/>
          <w:b/>
          <w:sz w:val="24"/>
          <w:szCs w:val="24"/>
        </w:rPr>
      </w:pPr>
      <w:r w:rsidRPr="00B44278">
        <w:rPr>
          <w:rFonts w:ascii="Times New Roman" w:eastAsia="Times New Roman" w:hAnsi="Times New Roman" w:cs="Times New Roman"/>
          <w:b/>
          <w:sz w:val="24"/>
          <w:szCs w:val="24"/>
        </w:rPr>
        <w:t>1.4</w:t>
      </w:r>
      <w:r w:rsidRPr="00B44278">
        <w:rPr>
          <w:rFonts w:ascii="Times New Roman" w:eastAsia="Times New Roman" w:hAnsi="Times New Roman" w:cs="Times New Roman"/>
          <w:b/>
          <w:sz w:val="24"/>
          <w:szCs w:val="24"/>
        </w:rPr>
        <w:tab/>
        <w:t xml:space="preserve">Research Questions  </w:t>
      </w:r>
    </w:p>
    <w:p w14:paraId="359D66F3" w14:textId="09641C97" w:rsidR="001469C4" w:rsidRPr="00B44278" w:rsidRDefault="009F540A">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The following questions will guide this research work</w:t>
      </w:r>
      <w:r w:rsidR="00802A6C" w:rsidRPr="00B44278">
        <w:rPr>
          <w:rFonts w:ascii="Times New Roman" w:eastAsia="Times New Roman" w:hAnsi="Times New Roman" w:cs="Times New Roman"/>
          <w:sz w:val="24"/>
          <w:szCs w:val="24"/>
        </w:rPr>
        <w:t xml:space="preserve">:  </w:t>
      </w:r>
    </w:p>
    <w:p w14:paraId="728340CE" w14:textId="63287D7A" w:rsidR="001469C4" w:rsidRPr="00B44278" w:rsidRDefault="009F540A">
      <w:pPr>
        <w:numPr>
          <w:ilvl w:val="0"/>
          <w:numId w:val="1"/>
        </w:numPr>
        <w:pBdr>
          <w:top w:val="nil"/>
          <w:left w:val="nil"/>
          <w:bottom w:val="nil"/>
          <w:right w:val="nil"/>
          <w:between w:val="nil"/>
        </w:pBdr>
        <w:spacing w:after="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What important targets and pathways are modulated by luteolin in CRC progression as predicted by </w:t>
      </w:r>
      <w:r w:rsidR="00802A6C" w:rsidRPr="00B44278">
        <w:rPr>
          <w:rFonts w:ascii="Times New Roman" w:eastAsia="Times New Roman" w:hAnsi="Times New Roman" w:cs="Times New Roman"/>
          <w:sz w:val="24"/>
          <w:szCs w:val="24"/>
        </w:rPr>
        <w:t>analysis?</w:t>
      </w:r>
    </w:p>
    <w:p w14:paraId="305A1872" w14:textId="1637D1B7" w:rsidR="001469C4" w:rsidRPr="00B44278" w:rsidRDefault="00802A6C">
      <w:pPr>
        <w:numPr>
          <w:ilvl w:val="0"/>
          <w:numId w:val="1"/>
        </w:numPr>
        <w:pBdr>
          <w:top w:val="nil"/>
          <w:left w:val="nil"/>
          <w:bottom w:val="nil"/>
          <w:right w:val="nil"/>
          <w:between w:val="nil"/>
        </w:pBdr>
        <w:spacing w:after="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How </w:t>
      </w:r>
      <w:r w:rsidR="009F540A" w:rsidRPr="00B44278">
        <w:rPr>
          <w:rFonts w:ascii="Times New Roman" w:eastAsia="Times New Roman" w:hAnsi="Times New Roman" w:cs="Times New Roman"/>
          <w:sz w:val="24"/>
          <w:szCs w:val="24"/>
        </w:rPr>
        <w:t xml:space="preserve">efficacious is luteolin in repressing the progression of colorectal tumorigenesis and modulating important pathways in Drosopjila model of CRC. </w:t>
      </w:r>
    </w:p>
    <w:p w14:paraId="0B689FC4" w14:textId="77777777" w:rsidR="001469C4" w:rsidRPr="00B44278" w:rsidRDefault="00802A6C" w:rsidP="0010485A">
      <w:pPr>
        <w:numPr>
          <w:ilvl w:val="0"/>
          <w:numId w:val="1"/>
        </w:numPr>
        <w:pBdr>
          <w:top w:val="nil"/>
          <w:left w:val="nil"/>
          <w:bottom w:val="nil"/>
          <w:right w:val="nil"/>
          <w:between w:val="nil"/>
        </w:pBd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Can the integration of network pharmacology and </w:t>
      </w:r>
      <w:r w:rsidRPr="00B44278">
        <w:rPr>
          <w:rFonts w:ascii="Times New Roman" w:eastAsia="Times New Roman" w:hAnsi="Times New Roman" w:cs="Times New Roman"/>
          <w:i/>
          <w:iCs/>
          <w:sz w:val="24"/>
          <w:szCs w:val="24"/>
        </w:rPr>
        <w:t>Drosophila melanogaster</w:t>
      </w:r>
      <w:r w:rsidRPr="00B44278">
        <w:rPr>
          <w:rFonts w:ascii="Times New Roman" w:eastAsia="Times New Roman" w:hAnsi="Times New Roman" w:cs="Times New Roman"/>
          <w:sz w:val="24"/>
          <w:szCs w:val="24"/>
        </w:rPr>
        <w:t xml:space="preserve"> models provide a reliable framework for elucidating the multi-target anticancer mechanisms of phytochemicals like luteolin for affordable CRC therapy development?</w:t>
      </w:r>
    </w:p>
    <w:p w14:paraId="47C5C738" w14:textId="40E6569E" w:rsidR="001469C4" w:rsidRPr="00B44278" w:rsidRDefault="00802A6C" w:rsidP="004F67FF">
      <w:pPr>
        <w:pStyle w:val="Heading8"/>
        <w:rPr>
          <w:rFonts w:eastAsia="Times New Roman" w:cs="Times New Roman"/>
          <w:szCs w:val="24"/>
        </w:rPr>
      </w:pPr>
      <w:r w:rsidRPr="00B44278">
        <w:rPr>
          <w:rFonts w:eastAsia="Times New Roman" w:cs="Times New Roman"/>
          <w:szCs w:val="24"/>
        </w:rPr>
        <w:t>1.5</w:t>
      </w:r>
      <w:r w:rsidRPr="00B44278">
        <w:rPr>
          <w:rFonts w:eastAsia="Times New Roman" w:cs="Times New Roman"/>
          <w:szCs w:val="24"/>
        </w:rPr>
        <w:tab/>
      </w:r>
      <w:r w:rsidR="007C52F1" w:rsidRPr="00B44278">
        <w:rPr>
          <w:rFonts w:eastAsia="Times New Roman" w:cs="Times New Roman"/>
          <w:szCs w:val="24"/>
        </w:rPr>
        <w:t>Aim of the Study</w:t>
      </w:r>
      <w:r w:rsidRPr="00B44278">
        <w:rPr>
          <w:rFonts w:eastAsia="Times New Roman" w:cs="Times New Roman"/>
          <w:szCs w:val="24"/>
        </w:rPr>
        <w:t xml:space="preserve">  </w:t>
      </w:r>
    </w:p>
    <w:p w14:paraId="09787ED9" w14:textId="7015676E" w:rsidR="001469C4" w:rsidRPr="00B44278" w:rsidRDefault="00585772">
      <w:pPr>
        <w:spacing w:line="480" w:lineRule="auto"/>
        <w:jc w:val="both"/>
        <w:rPr>
          <w:rFonts w:ascii="Times New Roman" w:eastAsia="Times New Roman" w:hAnsi="Times New Roman" w:cs="Times New Roman"/>
          <w:b/>
          <w:bCs/>
          <w:sz w:val="24"/>
          <w:szCs w:val="24"/>
        </w:rPr>
      </w:pPr>
      <w:r w:rsidRPr="00B44278">
        <w:rPr>
          <w:rFonts w:ascii="Times New Roman" w:eastAsia="Times New Roman" w:hAnsi="Times New Roman" w:cs="Times New Roman"/>
          <w:sz w:val="24"/>
          <w:szCs w:val="24"/>
        </w:rPr>
        <w:t xml:space="preserve">This study seeks to investigate the molecular mechanisms by which luteolin exerts its anti-colorectal cancer effects using an integrated network pharmacology approach and </w:t>
      </w:r>
      <w:r w:rsidRPr="00B44278">
        <w:rPr>
          <w:rFonts w:ascii="Times New Roman" w:eastAsia="Times New Roman" w:hAnsi="Times New Roman" w:cs="Times New Roman"/>
          <w:i/>
          <w:iCs/>
          <w:sz w:val="24"/>
          <w:szCs w:val="24"/>
        </w:rPr>
        <w:t>Drosophila melanogaster</w:t>
      </w:r>
      <w:r w:rsidRPr="00B44278">
        <w:rPr>
          <w:rFonts w:ascii="Times New Roman" w:eastAsia="Times New Roman" w:hAnsi="Times New Roman" w:cs="Times New Roman"/>
          <w:sz w:val="24"/>
          <w:szCs w:val="24"/>
        </w:rPr>
        <w:t xml:space="preserve"> models of colorectal cancer, while validating its predicted interactions with selected druggable targets through molecular docking simulations</w:t>
      </w:r>
      <w:r w:rsidR="00802A6C" w:rsidRPr="00B44278">
        <w:rPr>
          <w:rFonts w:ascii="Times New Roman" w:eastAsia="Times New Roman" w:hAnsi="Times New Roman" w:cs="Times New Roman"/>
          <w:sz w:val="24"/>
          <w:szCs w:val="24"/>
        </w:rPr>
        <w:t>.</w:t>
      </w:r>
    </w:p>
    <w:p w14:paraId="6EA6F397" w14:textId="0F3E0C87" w:rsidR="001469C4" w:rsidRPr="00B44278" w:rsidRDefault="00802A6C" w:rsidP="004F67FF">
      <w:pPr>
        <w:pStyle w:val="Heading8"/>
        <w:rPr>
          <w:rFonts w:eastAsia="Times New Roman" w:cs="Times New Roman"/>
          <w:szCs w:val="24"/>
        </w:rPr>
      </w:pPr>
      <w:r w:rsidRPr="00B44278">
        <w:rPr>
          <w:rFonts w:eastAsia="Times New Roman" w:cs="Times New Roman"/>
          <w:szCs w:val="24"/>
        </w:rPr>
        <w:t>1.6</w:t>
      </w:r>
      <w:r w:rsidRPr="00B44278">
        <w:rPr>
          <w:rFonts w:eastAsia="Times New Roman" w:cs="Times New Roman"/>
          <w:szCs w:val="24"/>
        </w:rPr>
        <w:tab/>
        <w:t>Objectives</w:t>
      </w:r>
      <w:r w:rsidR="007C52F1" w:rsidRPr="00B44278">
        <w:rPr>
          <w:rFonts w:eastAsia="Times New Roman" w:cs="Times New Roman"/>
          <w:szCs w:val="24"/>
        </w:rPr>
        <w:t xml:space="preserve"> of the Study</w:t>
      </w:r>
      <w:r w:rsidRPr="00B44278">
        <w:rPr>
          <w:rFonts w:eastAsia="Times New Roman" w:cs="Times New Roman"/>
          <w:szCs w:val="24"/>
        </w:rPr>
        <w:t xml:space="preserve">  </w:t>
      </w:r>
    </w:p>
    <w:p w14:paraId="15DBE0DE" w14:textId="30D018E5" w:rsidR="001469C4" w:rsidRPr="00B44278" w:rsidRDefault="00846374">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The main</w:t>
      </w:r>
      <w:r w:rsidR="00802A6C" w:rsidRPr="00B44278">
        <w:rPr>
          <w:rFonts w:ascii="Times New Roman" w:eastAsia="Times New Roman" w:hAnsi="Times New Roman" w:cs="Times New Roman"/>
          <w:sz w:val="24"/>
          <w:szCs w:val="24"/>
        </w:rPr>
        <w:t xml:space="preserve"> objectives of this study are to:  </w:t>
      </w:r>
    </w:p>
    <w:p w14:paraId="263138F2" w14:textId="77777777" w:rsidR="00846374" w:rsidRPr="00B44278" w:rsidRDefault="00846374">
      <w:pPr>
        <w:numPr>
          <w:ilvl w:val="0"/>
          <w:numId w:val="2"/>
        </w:numPr>
        <w:pBdr>
          <w:top w:val="nil"/>
          <w:left w:val="nil"/>
          <w:bottom w:val="nil"/>
          <w:right w:val="nil"/>
          <w:between w:val="nil"/>
        </w:pBdr>
        <w:spacing w:after="0" w:line="480" w:lineRule="auto"/>
        <w:jc w:val="both"/>
        <w:rPr>
          <w:rFonts w:ascii="Times New Roman" w:eastAsia="Times New Roman" w:hAnsi="Times New Roman" w:cs="Times New Roman"/>
          <w:sz w:val="24"/>
          <w:szCs w:val="24"/>
        </w:rPr>
      </w:pPr>
      <w:r w:rsidRPr="00B44278">
        <w:rPr>
          <w:rStyle w:val="cursor-pointer"/>
          <w:rFonts w:ascii="Times New Roman" w:hAnsi="Times New Roman" w:cs="Times New Roman"/>
          <w:sz w:val="24"/>
          <w:szCs w:val="24"/>
        </w:rPr>
        <w:t>identify and characterize the molecular targets and signaling pathways that mediate luteolin's anti-CRC activity.</w:t>
      </w:r>
      <w:r w:rsidRPr="00B44278">
        <w:rPr>
          <w:rFonts w:ascii="Times New Roman" w:hAnsi="Times New Roman" w:cs="Times New Roman"/>
          <w:sz w:val="24"/>
          <w:szCs w:val="24"/>
        </w:rPr>
        <w:t xml:space="preserve"> </w:t>
      </w:r>
    </w:p>
    <w:p w14:paraId="6D9CFE04" w14:textId="07104318" w:rsidR="001469C4" w:rsidRPr="00B44278" w:rsidRDefault="00846374" w:rsidP="00846374">
      <w:pPr>
        <w:pStyle w:val="ListParagraph"/>
        <w:numPr>
          <w:ilvl w:val="0"/>
          <w:numId w:val="2"/>
        </w:numPr>
        <w:pBdr>
          <w:top w:val="nil"/>
          <w:left w:val="nil"/>
          <w:bottom w:val="nil"/>
          <w:right w:val="nil"/>
          <w:between w:val="nil"/>
        </w:pBdr>
        <w:spacing w:after="280" w:line="480" w:lineRule="auto"/>
        <w:jc w:val="both"/>
        <w:rPr>
          <w:rFonts w:ascii="Times New Roman" w:hAnsi="Times New Roman" w:cs="Times New Roman"/>
          <w:sz w:val="24"/>
          <w:szCs w:val="24"/>
        </w:rPr>
      </w:pPr>
      <w:r w:rsidRPr="00B44278">
        <w:rPr>
          <w:rStyle w:val="cursor-pointer"/>
          <w:rFonts w:ascii="Times New Roman" w:hAnsi="Times New Roman" w:cs="Times New Roman"/>
          <w:sz w:val="24"/>
          <w:szCs w:val="24"/>
        </w:rPr>
        <w:t>determine the In vivo activity of luteolin against CRC in Drosophila by measuring its ability to prevent tumour growth, survival and expression of relevant molecular markers.</w:t>
      </w:r>
    </w:p>
    <w:p w14:paraId="15EAB1A9" w14:textId="24EE6E08" w:rsidR="00846374" w:rsidRPr="00B44278" w:rsidRDefault="00846374" w:rsidP="00846374">
      <w:pPr>
        <w:pStyle w:val="ListParagraph"/>
        <w:numPr>
          <w:ilvl w:val="0"/>
          <w:numId w:val="2"/>
        </w:numPr>
        <w:pBdr>
          <w:top w:val="nil"/>
          <w:left w:val="nil"/>
          <w:bottom w:val="nil"/>
          <w:right w:val="nil"/>
          <w:between w:val="nil"/>
        </w:pBdr>
        <w:spacing w:after="280" w:line="480" w:lineRule="auto"/>
        <w:jc w:val="both"/>
        <w:rPr>
          <w:rStyle w:val="cursor-pointer"/>
          <w:rFonts w:ascii="Times New Roman" w:hAnsi="Times New Roman" w:cs="Times New Roman"/>
          <w:sz w:val="24"/>
          <w:szCs w:val="24"/>
        </w:rPr>
      </w:pPr>
      <w:r w:rsidRPr="00B44278">
        <w:rPr>
          <w:rStyle w:val="cursor-pointer"/>
          <w:rFonts w:ascii="Times New Roman" w:hAnsi="Times New Roman" w:cs="Times New Roman"/>
          <w:sz w:val="24"/>
          <w:szCs w:val="24"/>
        </w:rPr>
        <w:lastRenderedPageBreak/>
        <w:t>design an integrative approach (network pharmacology and Drosophila models of CRC) to examine the multi-target anticancer activity of luteolin.</w:t>
      </w:r>
    </w:p>
    <w:p w14:paraId="5FF475F0" w14:textId="70376E43" w:rsidR="00846374" w:rsidRPr="00B44278" w:rsidRDefault="00424714" w:rsidP="00846374">
      <w:pPr>
        <w:pStyle w:val="ListParagraph"/>
        <w:numPr>
          <w:ilvl w:val="0"/>
          <w:numId w:val="2"/>
        </w:numPr>
        <w:pBdr>
          <w:top w:val="nil"/>
          <w:left w:val="nil"/>
          <w:bottom w:val="nil"/>
          <w:right w:val="nil"/>
          <w:between w:val="nil"/>
        </w:pBdr>
        <w:spacing w:after="280" w:line="480" w:lineRule="auto"/>
        <w:jc w:val="both"/>
        <w:rPr>
          <w:rFonts w:ascii="Times New Roman" w:eastAsia="Times New Roman" w:hAnsi="Times New Roman" w:cs="Times New Roman"/>
          <w:sz w:val="24"/>
          <w:szCs w:val="24"/>
        </w:rPr>
      </w:pPr>
      <w:r w:rsidRPr="00B44278">
        <w:rPr>
          <w:rStyle w:val="cursor-pointer"/>
          <w:rFonts w:ascii="Times New Roman" w:hAnsi="Times New Roman" w:cs="Times New Roman"/>
          <w:sz w:val="24"/>
          <w:szCs w:val="24"/>
        </w:rPr>
        <w:t>perform</w:t>
      </w:r>
      <w:r w:rsidR="00846374" w:rsidRPr="00B44278">
        <w:rPr>
          <w:rStyle w:val="cursor-pointer"/>
          <w:rFonts w:ascii="Times New Roman" w:hAnsi="Times New Roman" w:cs="Times New Roman"/>
          <w:sz w:val="24"/>
          <w:szCs w:val="24"/>
        </w:rPr>
        <w:t xml:space="preserve"> binding of luteolin to druggable targets in luteolin-CRC network pathway using molecular docking.</w:t>
      </w:r>
    </w:p>
    <w:p w14:paraId="2A82333D" w14:textId="77777777" w:rsidR="00846374" w:rsidRPr="00B44278" w:rsidRDefault="00846374" w:rsidP="00846374">
      <w:pPr>
        <w:pStyle w:val="ListParagraph"/>
        <w:pBdr>
          <w:top w:val="nil"/>
          <w:left w:val="nil"/>
          <w:bottom w:val="nil"/>
          <w:right w:val="nil"/>
          <w:between w:val="nil"/>
        </w:pBdr>
        <w:spacing w:after="280" w:line="480" w:lineRule="auto"/>
        <w:ind w:left="1080"/>
        <w:jc w:val="both"/>
        <w:rPr>
          <w:rFonts w:ascii="Times New Roman" w:hAnsi="Times New Roman" w:cs="Times New Roman"/>
          <w:sz w:val="24"/>
          <w:szCs w:val="24"/>
        </w:rPr>
      </w:pPr>
    </w:p>
    <w:p w14:paraId="01D96F1E" w14:textId="77777777" w:rsidR="001469C4" w:rsidRPr="00B44278" w:rsidRDefault="00802A6C" w:rsidP="004F67FF">
      <w:pPr>
        <w:pStyle w:val="Heading7"/>
        <w:rPr>
          <w:rFonts w:cs="Times New Roman"/>
          <w:szCs w:val="24"/>
        </w:rPr>
      </w:pPr>
      <w:r w:rsidRPr="00B44278">
        <w:rPr>
          <w:rFonts w:cs="Times New Roman"/>
          <w:szCs w:val="24"/>
        </w:rPr>
        <w:br w:type="page"/>
      </w:r>
      <w:r w:rsidRPr="00B44278">
        <w:rPr>
          <w:rFonts w:cs="Times New Roman"/>
          <w:szCs w:val="24"/>
        </w:rPr>
        <w:lastRenderedPageBreak/>
        <w:t>CHAPTER TWO</w:t>
      </w:r>
    </w:p>
    <w:p w14:paraId="0D887FAF" w14:textId="65E575DE" w:rsidR="001469C4" w:rsidRPr="00B44278" w:rsidRDefault="007C52F1" w:rsidP="007C52F1">
      <w:pPr>
        <w:pStyle w:val="Heading7"/>
        <w:jc w:val="left"/>
        <w:rPr>
          <w:rFonts w:eastAsia="Times New Roman" w:cs="Times New Roman"/>
          <w:szCs w:val="24"/>
        </w:rPr>
      </w:pPr>
      <w:r w:rsidRPr="00B44278">
        <w:rPr>
          <w:rFonts w:eastAsia="Times New Roman" w:cs="Times New Roman"/>
          <w:szCs w:val="24"/>
        </w:rPr>
        <w:t>2.0</w:t>
      </w:r>
      <w:r w:rsidRPr="00B44278">
        <w:rPr>
          <w:rFonts w:eastAsia="Times New Roman" w:cs="Times New Roman"/>
          <w:szCs w:val="24"/>
        </w:rPr>
        <w:tab/>
      </w:r>
      <w:r w:rsidRPr="00B44278">
        <w:rPr>
          <w:rFonts w:eastAsia="Times New Roman" w:cs="Times New Roman"/>
          <w:szCs w:val="24"/>
        </w:rPr>
        <w:tab/>
      </w:r>
      <w:r w:rsidRPr="00B44278">
        <w:rPr>
          <w:rFonts w:eastAsia="Times New Roman" w:cs="Times New Roman"/>
          <w:szCs w:val="24"/>
        </w:rPr>
        <w:tab/>
      </w:r>
      <w:r w:rsidRPr="00B44278">
        <w:rPr>
          <w:rFonts w:eastAsia="Times New Roman" w:cs="Times New Roman"/>
          <w:szCs w:val="24"/>
        </w:rPr>
        <w:tab/>
      </w:r>
      <w:r w:rsidRPr="00B44278">
        <w:rPr>
          <w:rFonts w:eastAsia="Times New Roman" w:cs="Times New Roman"/>
          <w:szCs w:val="24"/>
        </w:rPr>
        <w:tab/>
      </w:r>
      <w:r w:rsidR="00802A6C" w:rsidRPr="00B44278">
        <w:rPr>
          <w:rFonts w:eastAsia="Times New Roman" w:cs="Times New Roman"/>
          <w:szCs w:val="24"/>
        </w:rPr>
        <w:t>LITERATURE REVIEW</w:t>
      </w:r>
    </w:p>
    <w:p w14:paraId="48970F61" w14:textId="77777777" w:rsidR="001469C4" w:rsidRPr="00B44278" w:rsidRDefault="00802A6C" w:rsidP="00DC4707">
      <w:pPr>
        <w:pStyle w:val="Heading8"/>
        <w:rPr>
          <w:rFonts w:cs="Times New Roman"/>
          <w:szCs w:val="24"/>
        </w:rPr>
      </w:pPr>
      <w:r w:rsidRPr="00B44278">
        <w:rPr>
          <w:rFonts w:cs="Times New Roman"/>
          <w:szCs w:val="24"/>
        </w:rPr>
        <w:t>2.1</w:t>
      </w:r>
      <w:r w:rsidRPr="00B44278">
        <w:rPr>
          <w:rFonts w:cs="Times New Roman"/>
          <w:szCs w:val="24"/>
        </w:rPr>
        <w:tab/>
        <w:t>Overview</w:t>
      </w:r>
    </w:p>
    <w:p w14:paraId="5CE9A4ED" w14:textId="7BCADD18" w:rsidR="001F7BC0" w:rsidRPr="00B44278" w:rsidRDefault="001F7BC0" w:rsidP="00E35DB7">
      <w:pPr>
        <w:pBdr>
          <w:top w:val="nil"/>
          <w:left w:val="nil"/>
          <w:bottom w:val="nil"/>
          <w:right w:val="nil"/>
          <w:between w:val="nil"/>
        </w:pBdr>
        <w:spacing w:after="28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Colorectal cancer (CRC) is a significant worldwide health issue driven by genetic, epigenetic and environmental factors. Although significant advances have been made in screening and treatment, CRC incidence and mortality are still on the increase, particularly in LMICs where healthcare access is low. Advanced stages may not be treated with conventional therapies like surgery, chemotherapy, or radiotherapy because they are toxic, resistant, and expensive (Adebayo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2023; Alatise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2025). There have been increasing interests in natural compounds and the phytochemicals are being investigated as safer alternative with multiple targets. Luteolin has demonstrated significant anticancer activity among these, characterized by its properties in inhibiting tumor growth, inducing apoptosis and decreasing inflammation and oxidative stress (Almatroodi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2024). Its exact molecular mechanisms are not known, though. In this chapter, the CRC biology, current therapies and therapeutic potential of luteolin are reviewed, and the use of network pharmacology and Drosophila as novel tools to understand the anti-CRC effects of luteolin are discussed.</w:t>
      </w:r>
    </w:p>
    <w:p w14:paraId="38F57F5D" w14:textId="77777777" w:rsidR="001469C4" w:rsidRPr="00B44278" w:rsidRDefault="00802A6C" w:rsidP="00DC4707">
      <w:pPr>
        <w:pStyle w:val="Heading8"/>
        <w:rPr>
          <w:rFonts w:eastAsia="Times New Roman" w:cs="Times New Roman"/>
          <w:szCs w:val="24"/>
        </w:rPr>
      </w:pPr>
      <w:r w:rsidRPr="00B44278">
        <w:rPr>
          <w:rFonts w:eastAsia="Times New Roman" w:cs="Times New Roman"/>
          <w:szCs w:val="24"/>
        </w:rPr>
        <w:t>2.2</w:t>
      </w:r>
      <w:r w:rsidRPr="00B44278">
        <w:rPr>
          <w:rFonts w:eastAsia="Times New Roman" w:cs="Times New Roman"/>
          <w:szCs w:val="24"/>
        </w:rPr>
        <w:tab/>
        <w:t>Global Epidemiology and Burden of CRC</w:t>
      </w:r>
    </w:p>
    <w:p w14:paraId="52C6D41E" w14:textId="375CCB7A" w:rsidR="003671F4" w:rsidRPr="00B44278" w:rsidRDefault="003671F4" w:rsidP="003671F4">
      <w:pPr>
        <w:shd w:val="clear" w:color="auto" w:fill="FFFFFF"/>
        <w:spacing w:after="0" w:line="480" w:lineRule="auto"/>
        <w:jc w:val="both"/>
        <w:rPr>
          <w:rFonts w:ascii="Times New Roman" w:eastAsia="Times New Roman" w:hAnsi="Times New Roman" w:cs="Times New Roman"/>
          <w:sz w:val="24"/>
          <w:szCs w:val="24"/>
          <w:lang w:val="en-US"/>
        </w:rPr>
      </w:pPr>
      <w:r w:rsidRPr="00B44278">
        <w:rPr>
          <w:rFonts w:ascii="Times New Roman" w:eastAsia="Times New Roman" w:hAnsi="Times New Roman" w:cs="Times New Roman"/>
          <w:sz w:val="24"/>
          <w:szCs w:val="24"/>
          <w:lang w:val="en-US"/>
        </w:rPr>
        <w:t xml:space="preserve">The Global Cancer Observatory (GLOBOCAN) estimates that there were an estimated 19.3 million new cancer cases and 10 million cancer deaths in the world in 2020. CRC accounted for around 1.93 million (10%) of new cases and 0.94 million (9.4%) deaths (Figure 2.1), making a significant contribution to the global cancer burden (Morgan </w:t>
      </w:r>
      <w:r w:rsidR="00424714" w:rsidRPr="00B44278">
        <w:rPr>
          <w:rFonts w:ascii="Times New Roman" w:eastAsia="Times New Roman" w:hAnsi="Times New Roman" w:cs="Times New Roman"/>
          <w:i/>
          <w:sz w:val="24"/>
          <w:szCs w:val="24"/>
          <w:lang w:val="en-US"/>
        </w:rPr>
        <w:t>et al</w:t>
      </w:r>
      <w:r w:rsidRPr="00B44278">
        <w:rPr>
          <w:rFonts w:ascii="Times New Roman" w:eastAsia="Times New Roman" w:hAnsi="Times New Roman" w:cs="Times New Roman"/>
          <w:sz w:val="24"/>
          <w:szCs w:val="24"/>
          <w:lang w:val="en-US"/>
        </w:rPr>
        <w:t xml:space="preserve">., 2023; Sukrueangkul </w:t>
      </w:r>
      <w:r w:rsidR="00424714" w:rsidRPr="00B44278">
        <w:rPr>
          <w:rFonts w:ascii="Times New Roman" w:eastAsia="Times New Roman" w:hAnsi="Times New Roman" w:cs="Times New Roman"/>
          <w:i/>
          <w:sz w:val="24"/>
          <w:szCs w:val="24"/>
          <w:lang w:val="en-US"/>
        </w:rPr>
        <w:t>et al</w:t>
      </w:r>
      <w:r w:rsidRPr="00B44278">
        <w:rPr>
          <w:rFonts w:ascii="Times New Roman" w:eastAsia="Times New Roman" w:hAnsi="Times New Roman" w:cs="Times New Roman"/>
          <w:sz w:val="24"/>
          <w:szCs w:val="24"/>
          <w:lang w:val="en-US"/>
        </w:rPr>
        <w:t xml:space="preserve">., 2024). CRC incidence and mortality vary significantly between countries and regions, and are strongly associated with socioeconomic status (Arnold </w:t>
      </w:r>
      <w:r w:rsidR="00424714" w:rsidRPr="00B44278">
        <w:rPr>
          <w:rFonts w:ascii="Times New Roman" w:eastAsia="Times New Roman" w:hAnsi="Times New Roman" w:cs="Times New Roman"/>
          <w:i/>
          <w:sz w:val="24"/>
          <w:szCs w:val="24"/>
          <w:lang w:val="en-US"/>
        </w:rPr>
        <w:t>et al</w:t>
      </w:r>
      <w:r w:rsidRPr="00B44278">
        <w:rPr>
          <w:rFonts w:ascii="Times New Roman" w:eastAsia="Times New Roman" w:hAnsi="Times New Roman" w:cs="Times New Roman"/>
          <w:sz w:val="24"/>
          <w:szCs w:val="24"/>
          <w:lang w:val="en-US"/>
        </w:rPr>
        <w:t xml:space="preserve">., 2017). However, both incidence and mortality are higher in wealthier regions globally, and lower in lower income regions (Morgan </w:t>
      </w:r>
      <w:r w:rsidR="00424714" w:rsidRPr="00B44278">
        <w:rPr>
          <w:rFonts w:ascii="Times New Roman" w:eastAsia="Times New Roman" w:hAnsi="Times New Roman" w:cs="Times New Roman"/>
          <w:i/>
          <w:sz w:val="24"/>
          <w:szCs w:val="24"/>
          <w:lang w:val="en-US"/>
        </w:rPr>
        <w:t>et al</w:t>
      </w:r>
      <w:r w:rsidRPr="00B44278">
        <w:rPr>
          <w:rFonts w:ascii="Times New Roman" w:eastAsia="Times New Roman" w:hAnsi="Times New Roman" w:cs="Times New Roman"/>
          <w:sz w:val="24"/>
          <w:szCs w:val="24"/>
          <w:lang w:val="en-US"/>
        </w:rPr>
        <w:t xml:space="preserve">, 2023). CRC is more common in countries with higher </w:t>
      </w:r>
      <w:r w:rsidRPr="00B44278">
        <w:rPr>
          <w:rFonts w:ascii="Times New Roman" w:eastAsia="Times New Roman" w:hAnsi="Times New Roman" w:cs="Times New Roman"/>
          <w:sz w:val="24"/>
          <w:szCs w:val="24"/>
          <w:lang w:val="en-US"/>
        </w:rPr>
        <w:lastRenderedPageBreak/>
        <w:t xml:space="preserve">income, but there is a rise in prevalence in both men and women in developing countries. The highest incidence of cases (45.94%) and fatalities (49.37%) were reported in upper-middle-income countries, while high-income countries reported 42.43% of cases and 36.40% of fatalities, which could be due to improved access to effective treatment and healthcare infrastructure (Ji </w:t>
      </w:r>
      <w:r w:rsidR="00424714" w:rsidRPr="00B44278">
        <w:rPr>
          <w:rFonts w:ascii="Times New Roman" w:eastAsia="Times New Roman" w:hAnsi="Times New Roman" w:cs="Times New Roman"/>
          <w:i/>
          <w:sz w:val="24"/>
          <w:szCs w:val="24"/>
          <w:lang w:val="en-US"/>
        </w:rPr>
        <w:t>et al</w:t>
      </w:r>
      <w:r w:rsidRPr="00B44278">
        <w:rPr>
          <w:rFonts w:ascii="Times New Roman" w:eastAsia="Times New Roman" w:hAnsi="Times New Roman" w:cs="Times New Roman"/>
          <w:sz w:val="24"/>
          <w:szCs w:val="24"/>
          <w:lang w:val="en-US"/>
        </w:rPr>
        <w:t>., 2024).</w:t>
      </w:r>
    </w:p>
    <w:p w14:paraId="30C46DE6" w14:textId="52041CF0" w:rsidR="003671F4" w:rsidRPr="00B44278" w:rsidRDefault="003671F4" w:rsidP="003671F4">
      <w:pPr>
        <w:shd w:val="clear" w:color="auto" w:fill="FFFFFF"/>
        <w:spacing w:after="0" w:line="480" w:lineRule="auto"/>
        <w:jc w:val="both"/>
        <w:rPr>
          <w:rFonts w:ascii="Times New Roman" w:eastAsia="Times New Roman" w:hAnsi="Times New Roman" w:cs="Times New Roman"/>
          <w:sz w:val="24"/>
          <w:szCs w:val="24"/>
          <w:lang w:val="en-US"/>
        </w:rPr>
      </w:pPr>
      <w:r w:rsidRPr="00B44278">
        <w:rPr>
          <w:rFonts w:ascii="Times New Roman" w:eastAsia="Times New Roman" w:hAnsi="Times New Roman" w:cs="Times New Roman"/>
          <w:sz w:val="24"/>
          <w:szCs w:val="24"/>
          <w:lang w:val="en-US"/>
        </w:rPr>
        <w:t xml:space="preserve">CRC is the second most common cancer in men, and the sixth most common cancer in women, in 186 and 6 countries respectively worldwide in 2020 (Hossain </w:t>
      </w:r>
      <w:r w:rsidR="00424714" w:rsidRPr="00B44278">
        <w:rPr>
          <w:rFonts w:ascii="Times New Roman" w:eastAsia="Times New Roman" w:hAnsi="Times New Roman" w:cs="Times New Roman"/>
          <w:i/>
          <w:sz w:val="24"/>
          <w:szCs w:val="24"/>
          <w:lang w:val="en-US"/>
        </w:rPr>
        <w:t>et al</w:t>
      </w:r>
      <w:r w:rsidRPr="00B44278">
        <w:rPr>
          <w:rFonts w:ascii="Times New Roman" w:eastAsia="Times New Roman" w:hAnsi="Times New Roman" w:cs="Times New Roman"/>
          <w:sz w:val="24"/>
          <w:szCs w:val="24"/>
          <w:lang w:val="en-US"/>
        </w:rPr>
        <w:t xml:space="preserve">., 2022). In contrast, CRC was the most diagnosed cancer among men in just 10 countries, and among women in no country in 2018 (Bray </w:t>
      </w:r>
      <w:r w:rsidR="00424714" w:rsidRPr="00B44278">
        <w:rPr>
          <w:rFonts w:ascii="Times New Roman" w:eastAsia="Times New Roman" w:hAnsi="Times New Roman" w:cs="Times New Roman"/>
          <w:i/>
          <w:sz w:val="24"/>
          <w:szCs w:val="24"/>
          <w:lang w:val="en-US"/>
        </w:rPr>
        <w:t>et al</w:t>
      </w:r>
      <w:r w:rsidRPr="00B44278">
        <w:rPr>
          <w:rFonts w:ascii="Times New Roman" w:eastAsia="Times New Roman" w:hAnsi="Times New Roman" w:cs="Times New Roman"/>
          <w:sz w:val="24"/>
          <w:szCs w:val="24"/>
          <w:lang w:val="en-US"/>
        </w:rPr>
        <w:t xml:space="preserve">., 2018). About 5% of countries had CRC as the top cancer in men, rising to 10%, and 3.24% of the countries had CRC as top cancer in women. CRC is more prevalent in males than females and has been observed more than four times as often in high income countries as in low income countries. Also, mortalities are roughly 2.5 times more in rich countries than in poor countries (Bray </w:t>
      </w:r>
      <w:r w:rsidR="00424714" w:rsidRPr="00B44278">
        <w:rPr>
          <w:rFonts w:ascii="Times New Roman" w:eastAsia="Times New Roman" w:hAnsi="Times New Roman" w:cs="Times New Roman"/>
          <w:i/>
          <w:sz w:val="24"/>
          <w:szCs w:val="24"/>
          <w:lang w:val="en-US"/>
        </w:rPr>
        <w:t>et al</w:t>
      </w:r>
      <w:r w:rsidRPr="00B44278">
        <w:rPr>
          <w:rFonts w:ascii="Times New Roman" w:eastAsia="Times New Roman" w:hAnsi="Times New Roman" w:cs="Times New Roman"/>
          <w:sz w:val="24"/>
          <w:szCs w:val="24"/>
          <w:lang w:val="en-US"/>
        </w:rPr>
        <w:t xml:space="preserve">., 2018; Hossain </w:t>
      </w:r>
      <w:r w:rsidR="00424714" w:rsidRPr="00B44278">
        <w:rPr>
          <w:rFonts w:ascii="Times New Roman" w:eastAsia="Times New Roman" w:hAnsi="Times New Roman" w:cs="Times New Roman"/>
          <w:i/>
          <w:sz w:val="24"/>
          <w:szCs w:val="24"/>
          <w:lang w:val="en-US"/>
        </w:rPr>
        <w:t>et al</w:t>
      </w:r>
      <w:r w:rsidRPr="00B44278">
        <w:rPr>
          <w:rFonts w:ascii="Times New Roman" w:eastAsia="Times New Roman" w:hAnsi="Times New Roman" w:cs="Times New Roman"/>
          <w:sz w:val="24"/>
          <w:szCs w:val="24"/>
          <w:lang w:val="en-US"/>
        </w:rPr>
        <w:t>., 2022).</w:t>
      </w:r>
    </w:p>
    <w:p w14:paraId="1E1F492A" w14:textId="0C0C45DA" w:rsidR="001469C4" w:rsidRPr="00B44278" w:rsidRDefault="003671F4" w:rsidP="003671F4">
      <w:pPr>
        <w:shd w:val="clear" w:color="auto" w:fill="FFFFFF"/>
        <w:spacing w:after="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lang w:val="en-US"/>
        </w:rPr>
        <w:t xml:space="preserve">The age-standardized incidence rate of CRC was 19.8 persons per 100,000 population for both sexes combined in 2020, similar to the incidence rates in 2018, which were 23.4 and 16.2 per 100,000 population for men and women, respectively. The corresponding age-standardized mortality rate was 9.1 per 100,000, comprising 11.0 per 100,000 in men and 7.2 per 100,000 in women (Alatise </w:t>
      </w:r>
      <w:r w:rsidR="00424714" w:rsidRPr="00B44278">
        <w:rPr>
          <w:rFonts w:ascii="Times New Roman" w:eastAsia="Times New Roman" w:hAnsi="Times New Roman" w:cs="Times New Roman"/>
          <w:i/>
          <w:sz w:val="24"/>
          <w:szCs w:val="24"/>
          <w:lang w:val="en-US"/>
        </w:rPr>
        <w:t>et al</w:t>
      </w:r>
      <w:r w:rsidRPr="00B44278">
        <w:rPr>
          <w:rFonts w:ascii="Times New Roman" w:eastAsia="Times New Roman" w:hAnsi="Times New Roman" w:cs="Times New Roman"/>
          <w:sz w:val="24"/>
          <w:szCs w:val="24"/>
          <w:lang w:val="en-US"/>
        </w:rPr>
        <w:t>., 2025).</w:t>
      </w:r>
    </w:p>
    <w:p w14:paraId="3146A467" w14:textId="77777777" w:rsidR="001469C4" w:rsidRPr="00B44278" w:rsidRDefault="00802A6C">
      <w:pPr>
        <w:rPr>
          <w:rFonts w:ascii="Times New Roman" w:eastAsia="Times New Roman" w:hAnsi="Times New Roman" w:cs="Times New Roman"/>
          <w:sz w:val="24"/>
          <w:szCs w:val="24"/>
        </w:rPr>
      </w:pPr>
      <w:r w:rsidRPr="00B44278">
        <w:rPr>
          <w:rFonts w:ascii="Times New Roman" w:eastAsia="Times New Roman" w:hAnsi="Times New Roman" w:cs="Times New Roman"/>
          <w:noProof/>
          <w:sz w:val="24"/>
          <w:szCs w:val="24"/>
          <w:lang w:val="en-US"/>
        </w:rPr>
        <w:lastRenderedPageBreak/>
        <w:drawing>
          <wp:inline distT="0" distB="0" distL="0" distR="0" wp14:anchorId="4F17DB15" wp14:editId="613CA46C">
            <wp:extent cx="5648325" cy="6319838"/>
            <wp:effectExtent l="0" t="0" r="0" b="0"/>
            <wp:docPr id="22" name="image28.png" descr="https://www.mdpi.com/cancers/cancers-14-01732/article_deploy/html/images/cancers-14-01732-g002.png"/>
            <wp:cNvGraphicFramePr/>
            <a:graphic xmlns:a="http://schemas.openxmlformats.org/drawingml/2006/main">
              <a:graphicData uri="http://schemas.openxmlformats.org/drawingml/2006/picture">
                <pic:pic xmlns:pic="http://schemas.openxmlformats.org/drawingml/2006/picture">
                  <pic:nvPicPr>
                    <pic:cNvPr id="0" name="image28.png" descr="https://www.mdpi.com/cancers/cancers-14-01732/article_deploy/html/images/cancers-14-01732-g002.png"/>
                    <pic:cNvPicPr preferRelativeResize="0"/>
                  </pic:nvPicPr>
                  <pic:blipFill>
                    <a:blip r:embed="rId11"/>
                    <a:srcRect/>
                    <a:stretch>
                      <a:fillRect/>
                    </a:stretch>
                  </pic:blipFill>
                  <pic:spPr>
                    <a:xfrm>
                      <a:off x="0" y="0"/>
                      <a:ext cx="5648325" cy="6319838"/>
                    </a:xfrm>
                    <a:prstGeom prst="rect">
                      <a:avLst/>
                    </a:prstGeom>
                    <a:ln/>
                  </pic:spPr>
                </pic:pic>
              </a:graphicData>
            </a:graphic>
          </wp:inline>
        </w:drawing>
      </w:r>
    </w:p>
    <w:p w14:paraId="7E1DDC94" w14:textId="36AD3C34" w:rsidR="001469C4" w:rsidRPr="00B44278" w:rsidRDefault="00802A6C" w:rsidP="00084C5F">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b/>
          <w:bCs/>
          <w:sz w:val="24"/>
          <w:szCs w:val="24"/>
        </w:rPr>
        <w:t>Figure 2.1</w:t>
      </w:r>
      <w:r w:rsidRPr="00B44278">
        <w:rPr>
          <w:rFonts w:ascii="Times New Roman" w:eastAsia="Times New Roman" w:hAnsi="Times New Roman" w:cs="Times New Roman"/>
          <w:sz w:val="24"/>
          <w:szCs w:val="24"/>
        </w:rPr>
        <w:t>: Global cancer observatory (GLOBOCAN) data on</w:t>
      </w:r>
      <w:r w:rsidR="00084C5F" w:rsidRPr="00B44278">
        <w:rPr>
          <w:rFonts w:ascii="Times New Roman" w:eastAsia="Times New Roman" w:hAnsi="Times New Roman" w:cs="Times New Roman"/>
          <w:sz w:val="24"/>
          <w:szCs w:val="24"/>
        </w:rPr>
        <w:t xml:space="preserve"> the incidence and mortality of </w:t>
      </w:r>
      <w:r w:rsidRPr="00B44278">
        <w:rPr>
          <w:rFonts w:ascii="Times New Roman" w:eastAsia="Times New Roman" w:hAnsi="Times New Roman" w:cs="Times New Roman"/>
          <w:sz w:val="24"/>
          <w:szCs w:val="24"/>
        </w:rPr>
        <w:t xml:space="preserve">colorectal cancer (Morgan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2023) </w:t>
      </w:r>
    </w:p>
    <w:p w14:paraId="5AA41FD0" w14:textId="77777777" w:rsidR="001469C4" w:rsidRPr="00B44278" w:rsidRDefault="00802A6C">
      <w:pPr>
        <w:pBdr>
          <w:top w:val="nil"/>
          <w:left w:val="nil"/>
          <w:bottom w:val="nil"/>
          <w:right w:val="nil"/>
          <w:between w:val="nil"/>
        </w:pBdr>
        <w:spacing w:before="280" w:after="280"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br/>
      </w:r>
      <w:r w:rsidRPr="00B44278">
        <w:rPr>
          <w:rFonts w:ascii="Times New Roman" w:hAnsi="Times New Roman" w:cs="Times New Roman"/>
          <w:sz w:val="24"/>
          <w:szCs w:val="24"/>
        </w:rPr>
        <w:br w:type="page"/>
      </w:r>
    </w:p>
    <w:p w14:paraId="656546C0" w14:textId="77777777" w:rsidR="001469C4" w:rsidRPr="00B44278" w:rsidRDefault="00802A6C" w:rsidP="00DC4707">
      <w:pPr>
        <w:pStyle w:val="Heading8"/>
        <w:rPr>
          <w:rFonts w:eastAsia="Times New Roman" w:cs="Times New Roman"/>
          <w:szCs w:val="24"/>
        </w:rPr>
      </w:pPr>
      <w:r w:rsidRPr="00B44278">
        <w:rPr>
          <w:rFonts w:eastAsia="Times New Roman" w:cs="Times New Roman"/>
          <w:szCs w:val="24"/>
        </w:rPr>
        <w:lastRenderedPageBreak/>
        <w:t>2.3</w:t>
      </w:r>
      <w:r w:rsidRPr="00B44278">
        <w:rPr>
          <w:rFonts w:eastAsia="Times New Roman" w:cs="Times New Roman"/>
          <w:szCs w:val="24"/>
        </w:rPr>
        <w:tab/>
        <w:t>Pathophysiology and Molecular Mechanisms of CRC</w:t>
      </w:r>
    </w:p>
    <w:p w14:paraId="79582BEF" w14:textId="2DF9FB70" w:rsidR="001469C4" w:rsidRPr="00B44278" w:rsidRDefault="007E221C">
      <w:pPr>
        <w:pBdr>
          <w:top w:val="nil"/>
          <w:left w:val="nil"/>
          <w:bottom w:val="nil"/>
          <w:right w:val="nil"/>
          <w:between w:val="nil"/>
        </w:pBdr>
        <w:spacing w:before="280" w:after="280" w:line="480" w:lineRule="auto"/>
        <w:jc w:val="both"/>
        <w:rPr>
          <w:rFonts w:ascii="Times New Roman" w:eastAsia="Times New Roman" w:hAnsi="Times New Roman" w:cs="Times New Roman"/>
          <w:sz w:val="24"/>
          <w:szCs w:val="24"/>
        </w:rPr>
      </w:pPr>
      <w:r w:rsidRPr="00B44278">
        <w:rPr>
          <w:rFonts w:ascii="Times New Roman" w:hAnsi="Times New Roman" w:cs="Times New Roman"/>
          <w:sz w:val="24"/>
          <w:szCs w:val="24"/>
        </w:rPr>
        <w:t>The development of CRC is a complex process that progresses through a series of genetic and epigenetic alterations in the cells of the colon's mucosal lining, leading to the transformation of healthy colon into a tumor with cells that are capable of invading adjacent tissues and organs</w:t>
      </w:r>
      <w:r w:rsidR="00A1324A" w:rsidRPr="00B44278">
        <w:rPr>
          <w:rFonts w:ascii="Times New Roman" w:eastAsia="Times New Roman" w:hAnsi="Times New Roman" w:cs="Times New Roman"/>
          <w:sz w:val="24"/>
          <w:szCs w:val="24"/>
        </w:rPr>
        <w:t xml:space="preserve"> </w:t>
      </w:r>
      <w:r w:rsidR="00802A6C" w:rsidRPr="00B44278">
        <w:rPr>
          <w:rFonts w:ascii="Times New Roman" w:eastAsia="Times New Roman" w:hAnsi="Times New Roman" w:cs="Times New Roman"/>
          <w:sz w:val="24"/>
          <w:szCs w:val="24"/>
        </w:rPr>
        <w:t xml:space="preserve">(Zoratto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2014). This evolution involves sequential stages from aberrant crypt foci (ACF) to adenomas and ultimately in</w:t>
      </w:r>
      <w:r w:rsidR="00B656FD" w:rsidRPr="00B44278">
        <w:rPr>
          <w:rFonts w:ascii="Times New Roman" w:eastAsia="Times New Roman" w:hAnsi="Times New Roman" w:cs="Times New Roman"/>
          <w:sz w:val="24"/>
          <w:szCs w:val="24"/>
        </w:rPr>
        <w:t>vasive carcinomas, driven by div</w:t>
      </w:r>
      <w:r w:rsidR="00802A6C" w:rsidRPr="00B44278">
        <w:rPr>
          <w:rFonts w:ascii="Times New Roman" w:eastAsia="Times New Roman" w:hAnsi="Times New Roman" w:cs="Times New Roman"/>
          <w:sz w:val="24"/>
          <w:szCs w:val="24"/>
        </w:rPr>
        <w:t>er</w:t>
      </w:r>
      <w:r w:rsidR="00B656FD" w:rsidRPr="00B44278">
        <w:rPr>
          <w:rFonts w:ascii="Times New Roman" w:eastAsia="Times New Roman" w:hAnsi="Times New Roman" w:cs="Times New Roman"/>
          <w:sz w:val="24"/>
          <w:szCs w:val="24"/>
        </w:rPr>
        <w:t>se</w:t>
      </w:r>
      <w:r w:rsidR="00802A6C" w:rsidRPr="00B44278">
        <w:rPr>
          <w:rFonts w:ascii="Times New Roman" w:eastAsia="Times New Roman" w:hAnsi="Times New Roman" w:cs="Times New Roman"/>
          <w:sz w:val="24"/>
          <w:szCs w:val="24"/>
        </w:rPr>
        <w:t xml:space="preserve"> mutations and environmental influences (Testa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2018). Recent literature emphasizes the heterogeneity of CRC, with molecular subtypes influencing pathogenesis, prognosis, and therapeutic responses. </w:t>
      </w:r>
      <w:r w:rsidRPr="00B44278">
        <w:rPr>
          <w:rFonts w:ascii="Times New Roman" w:hAnsi="Times New Roman" w:cs="Times New Roman"/>
          <w:sz w:val="24"/>
          <w:szCs w:val="24"/>
        </w:rPr>
        <w:t xml:space="preserve">Several molecular pathways are involved in the pathogenesis of CRC, with chromosomal instability (CIN), microsatellite instability (MSI), and CpG island methylator phenotype (CIMP) being the most relevant, which promote colorectal tumorigenesis in different ways but share some common mechanisms </w:t>
      </w:r>
      <w:r w:rsidR="00802A6C" w:rsidRPr="00B44278">
        <w:rPr>
          <w:rFonts w:ascii="Times New Roman" w:eastAsia="Times New Roman" w:hAnsi="Times New Roman" w:cs="Times New Roman"/>
          <w:sz w:val="24"/>
          <w:szCs w:val="24"/>
        </w:rPr>
        <w:t xml:space="preserve">(Yang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2024). </w:t>
      </w:r>
    </w:p>
    <w:p w14:paraId="469A5726" w14:textId="57D04AFC" w:rsidR="001469C4" w:rsidRPr="00B44278" w:rsidRDefault="003671F4" w:rsidP="00BF2886">
      <w:pPr>
        <w:pBdr>
          <w:top w:val="nil"/>
          <w:left w:val="nil"/>
          <w:bottom w:val="nil"/>
          <w:right w:val="nil"/>
          <w:between w:val="nil"/>
        </w:pBdr>
        <w:spacing w:before="280" w:after="280" w:line="480" w:lineRule="auto"/>
        <w:jc w:val="both"/>
        <w:rPr>
          <w:rFonts w:ascii="Times New Roman" w:eastAsia="Times New Roman" w:hAnsi="Times New Roman" w:cs="Times New Roman"/>
          <w:sz w:val="24"/>
          <w:szCs w:val="24"/>
        </w:rPr>
      </w:pPr>
      <w:r w:rsidRPr="00B44278">
        <w:rPr>
          <w:rFonts w:ascii="Times New Roman" w:hAnsi="Times New Roman" w:cs="Times New Roman"/>
          <w:sz w:val="24"/>
          <w:szCs w:val="24"/>
        </w:rPr>
        <w:t xml:space="preserve">The adenoma–carcinoma sequence is well established as the most important pathway of CRC pathogenesis and is responsible for almost 85% of sporadic CRC via the chromosomal instability (CIN) pathway. This usually starts with mutation of the adenomatous polyposis coli (APC) gene, which is a critical regulator of Wnt/β-catenin signaling. Disruption of APC causes the accumulation and nuclear localization of β-catenin, which turns on the genes required for proliferation, such as MYC or CCND1 (cyclin D1), which facilitate the development of adenomas and the progression of tumors. </w:t>
      </w:r>
      <w:r w:rsidR="00802A6C" w:rsidRPr="00B44278">
        <w:rPr>
          <w:rFonts w:ascii="Times New Roman" w:eastAsia="Times New Roman" w:hAnsi="Times New Roman" w:cs="Times New Roman"/>
          <w:sz w:val="24"/>
          <w:szCs w:val="24"/>
        </w:rPr>
        <w:t xml:space="preserve">This fosters hyperproliferation and formation of early adenomas (Wang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2024). Progression to intermediate adenomas involves activating KRAS mutations, amplifying MAPK/ERK signaling to enhance cell survival and proliferation (Singh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2024). Late-stage adenomas acquire </w:t>
      </w:r>
      <w:r w:rsidR="00802A6C" w:rsidRPr="00B44278">
        <w:rPr>
          <w:rFonts w:ascii="Times New Roman" w:eastAsia="Times New Roman" w:hAnsi="Times New Roman" w:cs="Times New Roman"/>
          <w:sz w:val="24"/>
          <w:szCs w:val="24"/>
          <w:highlight w:val="white"/>
        </w:rPr>
        <w:t>mothers against decapentaplegic homolog 4</w:t>
      </w:r>
      <w:r w:rsidR="00802A6C" w:rsidRPr="00B44278">
        <w:rPr>
          <w:rFonts w:ascii="Times New Roman" w:eastAsia="Arial" w:hAnsi="Times New Roman" w:cs="Times New Roman"/>
          <w:sz w:val="24"/>
          <w:szCs w:val="24"/>
          <w:highlight w:val="white"/>
        </w:rPr>
        <w:t xml:space="preserve"> (</w:t>
      </w:r>
      <w:r w:rsidR="00802A6C" w:rsidRPr="00B44278">
        <w:rPr>
          <w:rFonts w:ascii="Times New Roman" w:eastAsia="Times New Roman" w:hAnsi="Times New Roman" w:cs="Times New Roman"/>
          <w:sz w:val="24"/>
          <w:szCs w:val="24"/>
        </w:rPr>
        <w:t>SMAD4) or deleted in colorectal cancer (DCC</w:t>
      </w:r>
      <w:r w:rsidR="00BF2886" w:rsidRPr="00B44278">
        <w:rPr>
          <w:rFonts w:ascii="Times New Roman" w:eastAsia="Times New Roman" w:hAnsi="Times New Roman" w:cs="Times New Roman"/>
          <w:sz w:val="24"/>
          <w:szCs w:val="24"/>
        </w:rPr>
        <w:t xml:space="preserve">) </w:t>
      </w:r>
      <w:r w:rsidR="00802A6C" w:rsidRPr="00B44278">
        <w:rPr>
          <w:rFonts w:ascii="Times New Roman" w:eastAsia="Times New Roman" w:hAnsi="Times New Roman" w:cs="Times New Roman"/>
          <w:sz w:val="24"/>
          <w:szCs w:val="24"/>
        </w:rPr>
        <w:t>deletions on chromosome 18q, disrupting TGF-β signaling and promoting invasiveness. Carcino</w:t>
      </w:r>
      <w:r w:rsidR="00211446" w:rsidRPr="00B44278">
        <w:rPr>
          <w:rFonts w:ascii="Times New Roman" w:eastAsia="Times New Roman" w:hAnsi="Times New Roman" w:cs="Times New Roman"/>
          <w:sz w:val="24"/>
          <w:szCs w:val="24"/>
        </w:rPr>
        <w:t xml:space="preserve">ma </w:t>
      </w:r>
      <w:r w:rsidR="00211446" w:rsidRPr="00B44278">
        <w:rPr>
          <w:rFonts w:ascii="Times New Roman" w:eastAsia="Times New Roman" w:hAnsi="Times New Roman" w:cs="Times New Roman"/>
          <w:sz w:val="24"/>
          <w:szCs w:val="24"/>
        </w:rPr>
        <w:lastRenderedPageBreak/>
        <w:t>transition is marked by mutations in TP53</w:t>
      </w:r>
      <w:r w:rsidR="00802A6C" w:rsidRPr="00B44278">
        <w:rPr>
          <w:rFonts w:ascii="Times New Roman" w:eastAsia="Times New Roman" w:hAnsi="Times New Roman" w:cs="Times New Roman"/>
          <w:sz w:val="24"/>
          <w:szCs w:val="24"/>
        </w:rPr>
        <w:t xml:space="preserve">, impairing </w:t>
      </w:r>
      <w:r w:rsidR="00211446" w:rsidRPr="00B44278">
        <w:rPr>
          <w:rFonts w:ascii="Times New Roman" w:eastAsia="Times New Roman" w:hAnsi="Times New Roman" w:cs="Times New Roman"/>
          <w:sz w:val="24"/>
          <w:szCs w:val="24"/>
        </w:rPr>
        <w:t xml:space="preserve">the repair </w:t>
      </w:r>
      <w:r w:rsidR="00802A6C" w:rsidRPr="00B44278">
        <w:rPr>
          <w:rFonts w:ascii="Times New Roman" w:eastAsia="Times New Roman" w:hAnsi="Times New Roman" w:cs="Times New Roman"/>
          <w:sz w:val="24"/>
          <w:szCs w:val="24"/>
        </w:rPr>
        <w:t xml:space="preserve">DNA and apoptosis, enabling unchecked growth and genomic instability (Wang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2024; Bocchi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2025). Metastasis, often to the liver or lungs, involves epithelial-mesenchymal transition (EMT) via pathways like PI3K/AKT/mTOR, upregulated by PTEN loss or PIK3CA mutations (Roshan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2019).</w:t>
      </w:r>
    </w:p>
    <w:p w14:paraId="2A0E393A" w14:textId="43437CFF" w:rsidR="001469C4" w:rsidRPr="00B44278" w:rsidRDefault="00802A6C" w:rsidP="006E4455">
      <w:pPr>
        <w:pBdr>
          <w:top w:val="nil"/>
          <w:left w:val="nil"/>
          <w:bottom w:val="nil"/>
          <w:right w:val="nil"/>
          <w:between w:val="nil"/>
        </w:pBdr>
        <w:tabs>
          <w:tab w:val="left" w:pos="1710"/>
        </w:tabs>
        <w:spacing w:before="280" w:after="28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Alternative pathways include the MSI-high (MSI-H) subtype, prevalent in right-sided tumors and linked to Lynch syndrome (hereditary nonpolyposis CRC) or sporadic hypermethylation of mismatch repair (MMR) genes like MLH1 (Battaglin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2018). MSI-H tumors exhibit high mutation burdens, neoantigen loads, and immune infiltration, </w:t>
      </w:r>
      <w:r w:rsidR="00B656FD" w:rsidRPr="00B44278">
        <w:rPr>
          <w:rFonts w:ascii="Times New Roman" w:eastAsia="Times New Roman" w:hAnsi="Times New Roman" w:cs="Times New Roman"/>
          <w:sz w:val="24"/>
          <w:szCs w:val="24"/>
        </w:rPr>
        <w:t xml:space="preserve">which correlate with better prognosis but also with </w:t>
      </w:r>
      <w:r w:rsidRPr="00B44278">
        <w:rPr>
          <w:rFonts w:ascii="Times New Roman" w:eastAsia="Times New Roman" w:hAnsi="Times New Roman" w:cs="Times New Roman"/>
          <w:sz w:val="24"/>
          <w:szCs w:val="24"/>
        </w:rPr>
        <w:t xml:space="preserve">resistance to 5-FU chemotherapy (Wang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2025). The CIMP pathway, overlapping with MSI-H, involves hypermethylation of promoter regions, silencing tumor suppressors like CDKN2A (p16) (Chang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2020). Beyond genetic alterations, inflammation plays a pivotal role, as seen in inflammatory bowel disease (IBD)-associated CRC, where chronic cytokine release (e.g., TNF-α, IL-6) activates NF-κB and STAT3 pathways, promoting survival and angiogenesis (Yang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2024). The gut microbiome contributes via dysbiosis, with </w:t>
      </w:r>
      <w:r w:rsidRPr="00B44278">
        <w:rPr>
          <w:rFonts w:ascii="Times New Roman" w:eastAsia="Times New Roman" w:hAnsi="Times New Roman" w:cs="Times New Roman"/>
          <w:i/>
          <w:iCs/>
          <w:sz w:val="24"/>
          <w:szCs w:val="24"/>
        </w:rPr>
        <w:t>Fusobacterium nucleatum</w:t>
      </w:r>
      <w:r w:rsidRPr="00B44278">
        <w:rPr>
          <w:rFonts w:ascii="Times New Roman" w:eastAsia="Times New Roman" w:hAnsi="Times New Roman" w:cs="Times New Roman"/>
          <w:sz w:val="24"/>
          <w:szCs w:val="24"/>
        </w:rPr>
        <w:t xml:space="preserve"> enhancing Wnt signaling and immune evasion (Roshan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2019). Angiogenesis, mediated by VEGF and HIF-1α under hypoxic conditions, supports tumor vascularization, while metabolic reprogramming (Warburg effect) via PI3K/AKT sustains rapid proliferation (Yang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2024).</w:t>
      </w:r>
    </w:p>
    <w:p w14:paraId="7EB63989" w14:textId="36ED8D7E" w:rsidR="001469C4" w:rsidRPr="00B44278" w:rsidRDefault="00802A6C">
      <w:pPr>
        <w:pBdr>
          <w:top w:val="nil"/>
          <w:left w:val="nil"/>
          <w:bottom w:val="nil"/>
          <w:right w:val="nil"/>
          <w:between w:val="nil"/>
        </w:pBdr>
        <w:spacing w:before="280" w:after="28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To illustrate these mechanisms, Figure 2.2 depicts key molecular pathways in CRC development, encompassing the adenoma-carcinoma sequence and associated genetic alterations. These insights underscore CRC's molecular complexity, informing targeted therapies like EGFR inhibitors for left-sided CRC or immune checkpoint blockers for MSI-H tumors (Yang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2024). However, challenges persist in translating these mechanisms to </w:t>
      </w:r>
      <w:r w:rsidRPr="00B44278">
        <w:rPr>
          <w:rFonts w:ascii="Times New Roman" w:eastAsia="Times New Roman" w:hAnsi="Times New Roman" w:cs="Times New Roman"/>
          <w:sz w:val="24"/>
          <w:szCs w:val="24"/>
        </w:rPr>
        <w:lastRenderedPageBreak/>
        <w:t xml:space="preserve">personalized medicine, particularly in addressing resistance and metastasis. Future research leveraging natural products and AI may further elucidate these pathways for improved interventions. </w:t>
      </w:r>
    </w:p>
    <w:p w14:paraId="2FCA4A4F" w14:textId="77777777" w:rsidR="001469C4" w:rsidRPr="00B44278" w:rsidRDefault="00802A6C">
      <w:pPr>
        <w:pBdr>
          <w:top w:val="nil"/>
          <w:left w:val="nil"/>
          <w:bottom w:val="nil"/>
          <w:right w:val="nil"/>
          <w:between w:val="nil"/>
        </w:pBdr>
        <w:spacing w:line="24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 </w:t>
      </w:r>
      <w:r w:rsidRPr="00B44278">
        <w:rPr>
          <w:rFonts w:ascii="Times New Roman" w:eastAsia="Times New Roman" w:hAnsi="Times New Roman" w:cs="Times New Roman"/>
          <w:noProof/>
          <w:sz w:val="24"/>
          <w:szCs w:val="24"/>
          <w:lang w:val="en-US"/>
        </w:rPr>
        <w:drawing>
          <wp:inline distT="0" distB="0" distL="0" distR="0" wp14:anchorId="6E7C9D5F" wp14:editId="3DAE330F">
            <wp:extent cx="5925377" cy="4515480"/>
            <wp:effectExtent l="0" t="0" r="0" b="0"/>
            <wp:docPr id="2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2"/>
                    <a:srcRect/>
                    <a:stretch>
                      <a:fillRect/>
                    </a:stretch>
                  </pic:blipFill>
                  <pic:spPr>
                    <a:xfrm>
                      <a:off x="0" y="0"/>
                      <a:ext cx="5925377" cy="4515480"/>
                    </a:xfrm>
                    <a:prstGeom prst="rect">
                      <a:avLst/>
                    </a:prstGeom>
                    <a:ln/>
                  </pic:spPr>
                </pic:pic>
              </a:graphicData>
            </a:graphic>
          </wp:inline>
        </w:drawing>
      </w:r>
    </w:p>
    <w:p w14:paraId="7E91972E" w14:textId="614BEE39" w:rsidR="001469C4" w:rsidRPr="00B44278" w:rsidRDefault="00802A6C">
      <w:pPr>
        <w:pBdr>
          <w:top w:val="nil"/>
          <w:left w:val="nil"/>
          <w:bottom w:val="nil"/>
          <w:right w:val="nil"/>
          <w:between w:val="nil"/>
        </w:pBd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b/>
          <w:bCs/>
          <w:sz w:val="24"/>
          <w:szCs w:val="24"/>
        </w:rPr>
        <w:t xml:space="preserve">Figure 2.2: </w:t>
      </w:r>
      <w:r w:rsidR="00C76B04" w:rsidRPr="00B44278">
        <w:rPr>
          <w:rFonts w:ascii="Times New Roman" w:eastAsia="Times New Roman" w:hAnsi="Times New Roman" w:cs="Times New Roman"/>
          <w:sz w:val="24"/>
          <w:szCs w:val="24"/>
        </w:rPr>
        <w:t>Diagrammatic</w:t>
      </w:r>
      <w:r w:rsidRPr="00B44278">
        <w:rPr>
          <w:rFonts w:ascii="Times New Roman" w:eastAsia="Times New Roman" w:hAnsi="Times New Roman" w:cs="Times New Roman"/>
          <w:sz w:val="24"/>
          <w:szCs w:val="24"/>
        </w:rPr>
        <w:t xml:space="preserve"> representation showing the key molecular pathways involved in the development of colorectal cancer from normal colonic epithelium to colon cancer (Kasi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2020)</w:t>
      </w:r>
      <w:r w:rsidR="00084C5F" w:rsidRPr="00B44278">
        <w:rPr>
          <w:rFonts w:ascii="Times New Roman" w:eastAsia="Times New Roman" w:hAnsi="Times New Roman" w:cs="Times New Roman"/>
          <w:sz w:val="24"/>
          <w:szCs w:val="24"/>
        </w:rPr>
        <w:t>.</w:t>
      </w:r>
    </w:p>
    <w:p w14:paraId="3261C1CA" w14:textId="77777777" w:rsidR="001469C4" w:rsidRPr="00B44278" w:rsidRDefault="00802A6C">
      <w:pPr>
        <w:spacing w:before="280" w:after="280" w:line="240" w:lineRule="auto"/>
        <w:rPr>
          <w:rFonts w:ascii="Times New Roman" w:eastAsia="Times New Roman" w:hAnsi="Times New Roman" w:cs="Times New Roman"/>
          <w:b/>
          <w:bCs/>
          <w:sz w:val="24"/>
          <w:szCs w:val="24"/>
        </w:rPr>
      </w:pPr>
      <w:r w:rsidRPr="00B44278">
        <w:rPr>
          <w:rFonts w:ascii="Times New Roman" w:hAnsi="Times New Roman" w:cs="Times New Roman"/>
          <w:sz w:val="24"/>
          <w:szCs w:val="24"/>
        </w:rPr>
        <w:br w:type="page"/>
      </w:r>
    </w:p>
    <w:p w14:paraId="6B542272" w14:textId="77777777" w:rsidR="001469C4" w:rsidRPr="00B44278" w:rsidRDefault="00802A6C" w:rsidP="004276D9">
      <w:pPr>
        <w:pStyle w:val="Heading9"/>
        <w:spacing w:line="480" w:lineRule="auto"/>
        <w:rPr>
          <w:rFonts w:eastAsia="Times New Roman" w:cs="Times New Roman"/>
          <w:szCs w:val="24"/>
        </w:rPr>
      </w:pPr>
      <w:r w:rsidRPr="00B44278">
        <w:rPr>
          <w:rFonts w:eastAsia="Times New Roman" w:cs="Times New Roman"/>
          <w:szCs w:val="24"/>
        </w:rPr>
        <w:lastRenderedPageBreak/>
        <w:t>2.3.1</w:t>
      </w:r>
      <w:r w:rsidRPr="00B44278">
        <w:rPr>
          <w:rFonts w:eastAsia="Times New Roman" w:cs="Times New Roman"/>
          <w:szCs w:val="24"/>
        </w:rPr>
        <w:tab/>
        <w:t>Mechanism of Azoxymethane-Induced CRC</w:t>
      </w:r>
    </w:p>
    <w:p w14:paraId="11344A4B" w14:textId="23D3C161" w:rsidR="004276D9" w:rsidRPr="00B44278" w:rsidRDefault="004276D9" w:rsidP="004276D9">
      <w:pPr>
        <w:spacing w:after="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Azoxymethane (AOM) is a powerful chemical </w:t>
      </w:r>
      <w:r w:rsidR="002F59A2" w:rsidRPr="00B44278">
        <w:rPr>
          <w:rFonts w:ascii="Times New Roman" w:eastAsia="Times New Roman" w:hAnsi="Times New Roman" w:cs="Times New Roman"/>
          <w:sz w:val="24"/>
          <w:szCs w:val="24"/>
        </w:rPr>
        <w:t xml:space="preserve">form of </w:t>
      </w:r>
      <w:r w:rsidRPr="00B44278">
        <w:rPr>
          <w:rFonts w:ascii="Times New Roman" w:eastAsia="Times New Roman" w:hAnsi="Times New Roman" w:cs="Times New Roman"/>
          <w:sz w:val="24"/>
          <w:szCs w:val="24"/>
        </w:rPr>
        <w:t xml:space="preserve">carcinogen commonly used to model CRC models. It is preferred because closely resembling the molecular and histopathological characteristics of sporadic CRC, it is a useful tool to study the process of carcinogenesis and to test chemopreventive agents (Waly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2014). Carcinogenic process induced by AOM is a sequence of biochemical and molecular events such as metabolic activation, DNA alkylation, oxidative stress, inflammation and activation of oncogenic signaling pathways (Chen and Huang, 2009). </w:t>
      </w:r>
    </w:p>
    <w:p w14:paraId="4C2ED39E" w14:textId="5936DC79" w:rsidR="004276D9" w:rsidRPr="00B44278" w:rsidRDefault="004276D9" w:rsidP="004276D9">
      <w:pPr>
        <w:spacing w:after="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After a</w:t>
      </w:r>
      <w:r w:rsidR="0024204F" w:rsidRPr="00B44278">
        <w:rPr>
          <w:rFonts w:ascii="Times New Roman" w:eastAsia="Times New Roman" w:hAnsi="Times New Roman" w:cs="Times New Roman"/>
          <w:sz w:val="24"/>
          <w:szCs w:val="24"/>
        </w:rPr>
        <w:t>dministration, AOM is activat</w:t>
      </w:r>
      <w:r w:rsidRPr="00B44278">
        <w:rPr>
          <w:rFonts w:ascii="Times New Roman" w:eastAsia="Times New Roman" w:hAnsi="Times New Roman" w:cs="Times New Roman"/>
          <w:sz w:val="24"/>
          <w:szCs w:val="24"/>
        </w:rPr>
        <w:t xml:space="preserve">ed to the active carcinogenic metabolite, methylazoxymethanol (MAM), principally in the liver, by enzymes of the cytochrome P450 family, specifically CYP2E1 (Dalrymple, 2014) (Fig. 2.3). This metabolite is subsequently carried via the blood to the colon and rectum and it possesses genotoxic properties on the epithelial cells (Waly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2014; Dalrymple, 2014). In the colonic tissue MAM is converted into methyl diazonium ions that can alkylate DNA bases, specifically O6 position of guanine, generating O6-methylguanine adducts (Nyskohus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2013). </w:t>
      </w:r>
      <w:r w:rsidR="0024204F" w:rsidRPr="00B44278">
        <w:rPr>
          <w:rFonts w:ascii="Times New Roman" w:hAnsi="Times New Roman" w:cs="Times New Roman"/>
          <w:color w:val="000000" w:themeColor="text1"/>
          <w:sz w:val="24"/>
          <w:szCs w:val="24"/>
        </w:rPr>
        <w:t xml:space="preserve">During DNA replication, these adducts can incorrectly pair with thymine, generating mutations that frequently affect key cancer-associated genes, including </w:t>
      </w:r>
      <w:r w:rsidR="0024204F" w:rsidRPr="00B44278">
        <w:rPr>
          <w:rStyle w:val="Emphasis"/>
          <w:rFonts w:ascii="Times New Roman" w:hAnsi="Times New Roman" w:cs="Times New Roman"/>
          <w:color w:val="000000" w:themeColor="text1"/>
          <w:sz w:val="24"/>
          <w:szCs w:val="24"/>
        </w:rPr>
        <w:t>KRAS</w:t>
      </w:r>
      <w:r w:rsidR="0024204F" w:rsidRPr="00B44278">
        <w:rPr>
          <w:rFonts w:ascii="Times New Roman" w:hAnsi="Times New Roman" w:cs="Times New Roman"/>
          <w:color w:val="000000" w:themeColor="text1"/>
          <w:sz w:val="24"/>
          <w:szCs w:val="24"/>
        </w:rPr>
        <w:t xml:space="preserve">, </w:t>
      </w:r>
      <w:r w:rsidR="0024204F" w:rsidRPr="00B44278">
        <w:rPr>
          <w:rStyle w:val="Emphasis"/>
          <w:rFonts w:ascii="Times New Roman" w:hAnsi="Times New Roman" w:cs="Times New Roman"/>
          <w:color w:val="000000" w:themeColor="text1"/>
          <w:sz w:val="24"/>
          <w:szCs w:val="24"/>
        </w:rPr>
        <w:t>CTNNB1</w:t>
      </w:r>
      <w:r w:rsidR="0024204F" w:rsidRPr="00B44278">
        <w:rPr>
          <w:rFonts w:ascii="Times New Roman" w:hAnsi="Times New Roman" w:cs="Times New Roman"/>
          <w:color w:val="000000" w:themeColor="text1"/>
          <w:sz w:val="24"/>
          <w:szCs w:val="24"/>
        </w:rPr>
        <w:t xml:space="preserve"> (β-catenin), and </w:t>
      </w:r>
      <w:r w:rsidR="0024204F" w:rsidRPr="00B44278">
        <w:rPr>
          <w:rStyle w:val="Emphasis"/>
          <w:rFonts w:ascii="Times New Roman" w:hAnsi="Times New Roman" w:cs="Times New Roman"/>
          <w:color w:val="000000" w:themeColor="text1"/>
          <w:sz w:val="24"/>
          <w:szCs w:val="24"/>
        </w:rPr>
        <w:t>TP53</w:t>
      </w:r>
      <w:r w:rsidR="0024204F" w:rsidRPr="00B44278">
        <w:rPr>
          <w:rFonts w:ascii="Times New Roman" w:hAnsi="Times New Roman" w:cs="Times New Roman"/>
          <w:color w:val="000000" w:themeColor="text1"/>
          <w:sz w:val="24"/>
          <w:szCs w:val="24"/>
        </w:rPr>
        <w:t>, thereby promoting malignant transformation and tumour progression.</w:t>
      </w:r>
      <w:r w:rsidR="0024204F" w:rsidRPr="00B44278">
        <w:rPr>
          <w:rFonts w:ascii="Times New Roman" w:eastAsia="Times New Roman" w:hAnsi="Times New Roman" w:cs="Times New Roman"/>
          <w:sz w:val="24"/>
          <w:szCs w:val="24"/>
        </w:rPr>
        <w:t xml:space="preserve"> </w:t>
      </w:r>
      <w:r w:rsidRPr="00B44278">
        <w:rPr>
          <w:rFonts w:ascii="Times New Roman" w:eastAsia="Times New Roman" w:hAnsi="Times New Roman" w:cs="Times New Roman"/>
          <w:sz w:val="24"/>
          <w:szCs w:val="24"/>
        </w:rPr>
        <w:t xml:space="preserve">(Chen and Huang, 2009; Nyskohus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2013). </w:t>
      </w:r>
    </w:p>
    <w:p w14:paraId="1E53EAB5" w14:textId="268F1C71" w:rsidR="001469C4" w:rsidRPr="00B44278" w:rsidRDefault="004276D9" w:rsidP="004276D9">
      <w:pPr>
        <w:spacing w:after="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AOM exposure also triggers genotoxic stress which results in excessive production of ROS and nitrosative stress, which causes lipid peroxidation, mitochondrial dysfunction and chronic inflammation in colonic tissues (Waly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2014). This inflammatory environment facilitates other genetic changes and is a conducive environment for tumor initiation and progression (Nyskohus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2013; Waly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2014). Several oncogenic signaling pathways are triggered by the DNA damage and inflammation resulting from AOM. They are Wnt/β-</w:t>
      </w:r>
      <w:r w:rsidRPr="00B44278">
        <w:rPr>
          <w:rFonts w:ascii="Times New Roman" w:eastAsia="Times New Roman" w:hAnsi="Times New Roman" w:cs="Times New Roman"/>
          <w:sz w:val="24"/>
          <w:szCs w:val="24"/>
        </w:rPr>
        <w:lastRenderedPageBreak/>
        <w:t xml:space="preserve">catenin pathway which control uncontrolled proliferation and maintain the cancer stem cell properties (Kohno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2025); the MAPK/ERK pathway that fosters mitogenic signaling (Aravindaram and Yang, 2010); the NF-κB pathway that maintains inflammation and thereby dampens apoptosis (Huang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2022); and the generation of </w:t>
      </w:r>
      <w:r w:rsidR="0024204F" w:rsidRPr="00B44278">
        <w:rPr>
          <w:rFonts w:ascii="Times New Roman" w:eastAsia="Times New Roman" w:hAnsi="Times New Roman" w:cs="Times New Roman"/>
          <w:sz w:val="24"/>
          <w:szCs w:val="24"/>
        </w:rPr>
        <w:t xml:space="preserve">ROS </w:t>
      </w:r>
      <w:r w:rsidRPr="00B44278">
        <w:rPr>
          <w:rFonts w:ascii="Times New Roman" w:eastAsia="Times New Roman" w:hAnsi="Times New Roman" w:cs="Times New Roman"/>
          <w:sz w:val="24"/>
          <w:szCs w:val="24"/>
        </w:rPr>
        <w:t xml:space="preserve">(Huang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2026). These </w:t>
      </w:r>
      <w:r w:rsidR="007276E4" w:rsidRPr="00B44278">
        <w:rPr>
          <w:rFonts w:ascii="Times New Roman" w:eastAsia="Times New Roman" w:hAnsi="Times New Roman" w:cs="Times New Roman"/>
          <w:sz w:val="24"/>
          <w:szCs w:val="24"/>
        </w:rPr>
        <w:t xml:space="preserve">signaling </w:t>
      </w:r>
      <w:r w:rsidRPr="00B44278">
        <w:rPr>
          <w:rFonts w:ascii="Times New Roman" w:eastAsia="Times New Roman" w:hAnsi="Times New Roman" w:cs="Times New Roman"/>
          <w:sz w:val="24"/>
          <w:szCs w:val="24"/>
        </w:rPr>
        <w:t xml:space="preserve">pathways are </w:t>
      </w:r>
      <w:r w:rsidR="007276E4" w:rsidRPr="00B44278">
        <w:rPr>
          <w:rFonts w:ascii="Times New Roman" w:eastAsia="Times New Roman" w:hAnsi="Times New Roman" w:cs="Times New Roman"/>
          <w:sz w:val="24"/>
          <w:szCs w:val="24"/>
        </w:rPr>
        <w:t>co-activated</w:t>
      </w:r>
      <w:r w:rsidRPr="00B44278">
        <w:rPr>
          <w:rFonts w:ascii="Times New Roman" w:eastAsia="Times New Roman" w:hAnsi="Times New Roman" w:cs="Times New Roman"/>
          <w:sz w:val="24"/>
          <w:szCs w:val="24"/>
        </w:rPr>
        <w:t xml:space="preserve">, </w:t>
      </w:r>
      <w:r w:rsidR="007276E4" w:rsidRPr="00B44278">
        <w:rPr>
          <w:rFonts w:ascii="Times New Roman" w:eastAsia="Times New Roman" w:hAnsi="Times New Roman" w:cs="Times New Roman"/>
          <w:sz w:val="24"/>
          <w:szCs w:val="24"/>
        </w:rPr>
        <w:t>ultimately causing</w:t>
      </w:r>
      <w:r w:rsidRPr="00B44278">
        <w:rPr>
          <w:rFonts w:ascii="Times New Roman" w:eastAsia="Times New Roman" w:hAnsi="Times New Roman" w:cs="Times New Roman"/>
          <w:sz w:val="24"/>
          <w:szCs w:val="24"/>
        </w:rPr>
        <w:t xml:space="preserve"> unchecked cell growth, suppression of cell death, and increased angiogenesis, which promote tumor growth. </w:t>
      </w:r>
    </w:p>
    <w:p w14:paraId="7A5C8310" w14:textId="77777777" w:rsidR="006B5EA9" w:rsidRPr="00B44278" w:rsidRDefault="006B5EA9" w:rsidP="006B5EA9">
      <w:pPr>
        <w:pStyle w:val="Heading8"/>
        <w:rPr>
          <w:rFonts w:eastAsia="Times New Roman" w:cs="Times New Roman"/>
          <w:szCs w:val="24"/>
        </w:rPr>
      </w:pPr>
      <w:r w:rsidRPr="00B44278">
        <w:rPr>
          <w:rFonts w:eastAsia="Times New Roman" w:cs="Times New Roman"/>
          <w:szCs w:val="24"/>
        </w:rPr>
        <w:t>2.4</w:t>
      </w:r>
      <w:r w:rsidRPr="00B44278">
        <w:rPr>
          <w:rFonts w:eastAsia="Times New Roman" w:cs="Times New Roman"/>
          <w:szCs w:val="24"/>
        </w:rPr>
        <w:tab/>
        <w:t>Conventional Therapeutic Approaches and Limitations</w:t>
      </w:r>
    </w:p>
    <w:p w14:paraId="2F7FC627" w14:textId="05FFD642" w:rsidR="0060662A" w:rsidRPr="00B44278" w:rsidRDefault="007E221C" w:rsidP="0060662A">
      <w:pPr>
        <w:spacing w:after="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The standard treatment for CRC is a multitargeted approach using surgery, chemotherapy, targeted therapy and immunotherapy, depending on the stage and molecular characteristics of the disease. Surgical resection continues to play a crucial role in CRC treatment and is the main curative option, with 5-year survival rates &gt; 90%, especially for localized disease (stages I and II)</w:t>
      </w:r>
      <w:r w:rsidR="007276E4" w:rsidRPr="00B44278">
        <w:rPr>
          <w:rFonts w:ascii="Times New Roman" w:eastAsia="Times New Roman" w:hAnsi="Times New Roman" w:cs="Times New Roman"/>
          <w:sz w:val="24"/>
          <w:szCs w:val="24"/>
        </w:rPr>
        <w:t xml:space="preserve"> </w:t>
      </w:r>
      <w:r w:rsidR="0060662A" w:rsidRPr="00B44278">
        <w:rPr>
          <w:rFonts w:ascii="Times New Roman" w:eastAsia="Times New Roman" w:hAnsi="Times New Roman" w:cs="Times New Roman"/>
          <w:sz w:val="24"/>
          <w:szCs w:val="24"/>
        </w:rPr>
        <w:t xml:space="preserve">(Aigner </w:t>
      </w:r>
      <w:r w:rsidR="00424714" w:rsidRPr="00B44278">
        <w:rPr>
          <w:rFonts w:ascii="Times New Roman" w:eastAsia="Times New Roman" w:hAnsi="Times New Roman" w:cs="Times New Roman"/>
          <w:i/>
          <w:sz w:val="24"/>
          <w:szCs w:val="24"/>
        </w:rPr>
        <w:t>et al</w:t>
      </w:r>
      <w:r w:rsidR="0060662A" w:rsidRPr="00B44278">
        <w:rPr>
          <w:rFonts w:ascii="Times New Roman" w:eastAsia="Times New Roman" w:hAnsi="Times New Roman" w:cs="Times New Roman"/>
          <w:sz w:val="24"/>
          <w:szCs w:val="24"/>
        </w:rPr>
        <w:t xml:space="preserve">., 2025) In stage III and metastatic CRC, treatment with adjuvant chemotherapy, mainly fluoropyrimidine-based such as 5-fluorouracil (5-FU) or capecitabine and oxaliplatin (FOLFOX), has been shown to prolong survival, but they are associated with adverse effects such as myelosuppression and neuropathy (Taieb and Gallois, 2020). Specific molecular subtypes can be targeted, such as with anti-EGFR (cetuximab) and anti-VEGF (bevacizumab) monoclonal antibodies; however, there are issues with resistance and cost of these treatments, and they can cost more than other therapies. $100,000 per course (Hecht </w:t>
      </w:r>
      <w:r w:rsidR="00424714" w:rsidRPr="00B44278">
        <w:rPr>
          <w:rFonts w:ascii="Times New Roman" w:eastAsia="Times New Roman" w:hAnsi="Times New Roman" w:cs="Times New Roman"/>
          <w:i/>
          <w:sz w:val="24"/>
          <w:szCs w:val="24"/>
        </w:rPr>
        <w:t>et al</w:t>
      </w:r>
      <w:r w:rsidR="0060662A" w:rsidRPr="00B44278">
        <w:rPr>
          <w:rFonts w:ascii="Times New Roman" w:eastAsia="Times New Roman" w:hAnsi="Times New Roman" w:cs="Times New Roman"/>
          <w:sz w:val="24"/>
          <w:szCs w:val="24"/>
        </w:rPr>
        <w:t xml:space="preserve">., 2009). Immunotherapies like PD-1 inhibitors have been found to be effective in microsatellite instability-high (MSI-H) CRC, but not in microsatellite stable (MSS) tumors (Kasi </w:t>
      </w:r>
      <w:r w:rsidR="00424714" w:rsidRPr="00B44278">
        <w:rPr>
          <w:rFonts w:ascii="Times New Roman" w:eastAsia="Times New Roman" w:hAnsi="Times New Roman" w:cs="Times New Roman"/>
          <w:i/>
          <w:sz w:val="24"/>
          <w:szCs w:val="24"/>
        </w:rPr>
        <w:t>et al</w:t>
      </w:r>
      <w:r w:rsidR="0060662A" w:rsidRPr="00B44278">
        <w:rPr>
          <w:rFonts w:ascii="Times New Roman" w:eastAsia="Times New Roman" w:hAnsi="Times New Roman" w:cs="Times New Roman"/>
          <w:sz w:val="24"/>
          <w:szCs w:val="24"/>
        </w:rPr>
        <w:t xml:space="preserve">., 2020). When applied sparingly (in rectal cancer), radiotherapy is a long-term risk of bowel dysfunction (Vendrely </w:t>
      </w:r>
      <w:r w:rsidR="00424714" w:rsidRPr="00B44278">
        <w:rPr>
          <w:rFonts w:ascii="Times New Roman" w:eastAsia="Times New Roman" w:hAnsi="Times New Roman" w:cs="Times New Roman"/>
          <w:i/>
          <w:sz w:val="24"/>
          <w:szCs w:val="24"/>
        </w:rPr>
        <w:t>et al</w:t>
      </w:r>
      <w:r w:rsidR="0060662A" w:rsidRPr="00B44278">
        <w:rPr>
          <w:rFonts w:ascii="Times New Roman" w:eastAsia="Times New Roman" w:hAnsi="Times New Roman" w:cs="Times New Roman"/>
          <w:sz w:val="24"/>
          <w:szCs w:val="24"/>
        </w:rPr>
        <w:t>., 2022). These modalities, despite providing better outcomes, are limited by toxicity, resistance, lack of availability in LMICs and inadequate results in high burden disease, calling for new therapeutic approaches.</w:t>
      </w:r>
    </w:p>
    <w:p w14:paraId="38791E7B" w14:textId="77777777" w:rsidR="001469C4" w:rsidRPr="00B44278" w:rsidRDefault="001469C4">
      <w:pPr>
        <w:spacing w:before="280" w:after="280" w:line="480" w:lineRule="auto"/>
        <w:jc w:val="both"/>
        <w:rPr>
          <w:rFonts w:ascii="Times New Roman" w:eastAsia="Times New Roman" w:hAnsi="Times New Roman" w:cs="Times New Roman"/>
          <w:sz w:val="24"/>
          <w:szCs w:val="24"/>
        </w:rPr>
      </w:pPr>
    </w:p>
    <w:p w14:paraId="199326E2" w14:textId="17F7C473" w:rsidR="001469C4" w:rsidRPr="00B44278" w:rsidRDefault="00787342">
      <w:pPr>
        <w:spacing w:before="280" w:after="28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noProof/>
          <w:sz w:val="24"/>
          <w:szCs w:val="24"/>
          <w:lang w:val="en-US"/>
        </w:rPr>
        <w:lastRenderedPageBreak/>
        <w:drawing>
          <wp:inline distT="0" distB="0" distL="0" distR="0" wp14:anchorId="17383DEE" wp14:editId="63AC983E">
            <wp:extent cx="5849166" cy="359142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49166" cy="3591426"/>
                    </a:xfrm>
                    <a:prstGeom prst="rect">
                      <a:avLst/>
                    </a:prstGeom>
                  </pic:spPr>
                </pic:pic>
              </a:graphicData>
            </a:graphic>
          </wp:inline>
        </w:drawing>
      </w:r>
    </w:p>
    <w:p w14:paraId="77A8D13C" w14:textId="3BE92D96" w:rsidR="001469C4" w:rsidRPr="00B44278" w:rsidRDefault="00802A6C" w:rsidP="00E35DB7">
      <w:pPr>
        <w:spacing w:before="280" w:after="28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b/>
          <w:bCs/>
          <w:sz w:val="24"/>
          <w:szCs w:val="24"/>
        </w:rPr>
        <w:t>Figure 2.3:</w:t>
      </w:r>
      <w:r w:rsidRPr="00B44278">
        <w:rPr>
          <w:rFonts w:ascii="Times New Roman" w:eastAsia="Times New Roman" w:hAnsi="Times New Roman" w:cs="Times New Roman"/>
          <w:sz w:val="24"/>
          <w:szCs w:val="24"/>
        </w:rPr>
        <w:t xml:space="preserve"> </w:t>
      </w:r>
      <w:r w:rsidR="0060662A" w:rsidRPr="00B44278">
        <w:rPr>
          <w:rFonts w:ascii="Times New Roman" w:eastAsia="Times New Roman" w:hAnsi="Times New Roman" w:cs="Times New Roman"/>
          <w:sz w:val="24"/>
          <w:szCs w:val="24"/>
        </w:rPr>
        <w:t xml:space="preserve">Summary of the mechanisms by which AOM induce CRC </w:t>
      </w:r>
      <w:r w:rsidRPr="00B44278">
        <w:rPr>
          <w:rFonts w:ascii="Times New Roman" w:eastAsia="Times New Roman" w:hAnsi="Times New Roman" w:cs="Times New Roman"/>
          <w:sz w:val="24"/>
          <w:szCs w:val="24"/>
        </w:rPr>
        <w:t xml:space="preserve">(Chen and Huang, 2009). </w:t>
      </w:r>
      <w:r w:rsidRPr="00B44278">
        <w:rPr>
          <w:rFonts w:ascii="Times New Roman" w:eastAsia="Times New Roman" w:hAnsi="Times New Roman" w:cs="Times New Roman"/>
          <w:sz w:val="24"/>
          <w:szCs w:val="24"/>
        </w:rPr>
        <w:br/>
      </w:r>
      <w:r w:rsidR="0060662A" w:rsidRPr="00B44278">
        <w:rPr>
          <w:rFonts w:ascii="Times New Roman" w:eastAsia="Times New Roman" w:hAnsi="Times New Roman" w:cs="Times New Roman"/>
          <w:sz w:val="24"/>
          <w:szCs w:val="24"/>
        </w:rPr>
        <w:tab/>
      </w:r>
    </w:p>
    <w:p w14:paraId="6D238657" w14:textId="77777777" w:rsidR="001469C4" w:rsidRPr="00B44278" w:rsidRDefault="00802A6C" w:rsidP="009973C8">
      <w:pPr>
        <w:pStyle w:val="Heading9"/>
        <w:spacing w:line="480" w:lineRule="auto"/>
        <w:rPr>
          <w:rFonts w:cs="Times New Roman"/>
          <w:szCs w:val="24"/>
        </w:rPr>
      </w:pPr>
      <w:r w:rsidRPr="00B44278">
        <w:rPr>
          <w:rFonts w:cs="Times New Roman"/>
          <w:szCs w:val="24"/>
        </w:rPr>
        <w:lastRenderedPageBreak/>
        <w:t>2.4.1</w:t>
      </w:r>
      <w:r w:rsidRPr="00B44278">
        <w:rPr>
          <w:rFonts w:cs="Times New Roman"/>
          <w:szCs w:val="24"/>
        </w:rPr>
        <w:tab/>
        <w:t>Phytochemicals in Cancer Therapy</w:t>
      </w:r>
    </w:p>
    <w:p w14:paraId="0A847532" w14:textId="3DA950D8" w:rsidR="003671F4" w:rsidRPr="00B44278" w:rsidRDefault="003671F4" w:rsidP="003671F4">
      <w:pPr>
        <w:pStyle w:val="Heading9"/>
        <w:spacing w:line="480" w:lineRule="auto"/>
        <w:rPr>
          <w:rFonts w:eastAsia="Times New Roman" w:cs="Times New Roman"/>
          <w:b w:val="0"/>
          <w:iCs w:val="0"/>
          <w:color w:val="auto"/>
          <w:szCs w:val="24"/>
          <w:lang w:val="en-US"/>
        </w:rPr>
      </w:pPr>
      <w:r w:rsidRPr="00B44278">
        <w:rPr>
          <w:rFonts w:eastAsia="Times New Roman" w:cs="Times New Roman"/>
          <w:b w:val="0"/>
          <w:iCs w:val="0"/>
          <w:color w:val="auto"/>
          <w:szCs w:val="24"/>
          <w:lang w:val="en-US"/>
        </w:rPr>
        <w:t xml:space="preserve">Colorectal cancer (CRC) is a growing global disease and the currently available therapeutic options are not effective enough to curb the burden of the disease. Plant-derived phytochemicals are one of the more promising candidates as a group of naturally occurring molecules that are bioactive and have inhibitory effects on various cancer-promoting processes. These compounds have been demonstrated to cause interference in cellular proliferation, metastatic progression and resistance to programmed cell death, and are generally less toxic and less costly to produce than many synthetic drugs (Ganai </w:t>
      </w:r>
      <w:r w:rsidR="00424714" w:rsidRPr="00B44278">
        <w:rPr>
          <w:rFonts w:eastAsia="Times New Roman" w:cs="Times New Roman"/>
          <w:b w:val="0"/>
          <w:i/>
          <w:iCs w:val="0"/>
          <w:color w:val="auto"/>
          <w:szCs w:val="24"/>
          <w:lang w:val="en-US"/>
        </w:rPr>
        <w:t>et al</w:t>
      </w:r>
      <w:r w:rsidRPr="00B44278">
        <w:rPr>
          <w:rFonts w:eastAsia="Times New Roman" w:cs="Times New Roman"/>
          <w:b w:val="0"/>
          <w:iCs w:val="0"/>
          <w:color w:val="auto"/>
          <w:szCs w:val="24"/>
          <w:lang w:val="en-US"/>
        </w:rPr>
        <w:t xml:space="preserve">., 2021; Almatroodi </w:t>
      </w:r>
      <w:r w:rsidR="00424714" w:rsidRPr="00B44278">
        <w:rPr>
          <w:rFonts w:eastAsia="Times New Roman" w:cs="Times New Roman"/>
          <w:b w:val="0"/>
          <w:i/>
          <w:iCs w:val="0"/>
          <w:color w:val="auto"/>
          <w:szCs w:val="24"/>
          <w:lang w:val="en-US"/>
        </w:rPr>
        <w:t>et al</w:t>
      </w:r>
      <w:r w:rsidRPr="00B44278">
        <w:rPr>
          <w:rFonts w:eastAsia="Times New Roman" w:cs="Times New Roman"/>
          <w:b w:val="0"/>
          <w:iCs w:val="0"/>
          <w:color w:val="auto"/>
          <w:szCs w:val="24"/>
          <w:lang w:val="en-US"/>
        </w:rPr>
        <w:t xml:space="preserve">., 2024). Further, epidemiological investigations have indicated that the consumption of diets high in phytochemical-rich foods is associated with reduced risk of CRC, suggesting that diets containing these phytochemicals may be potential cancer prevention diets (Adebayo </w:t>
      </w:r>
      <w:r w:rsidR="00424714" w:rsidRPr="00B44278">
        <w:rPr>
          <w:rFonts w:eastAsia="Times New Roman" w:cs="Times New Roman"/>
          <w:b w:val="0"/>
          <w:i/>
          <w:iCs w:val="0"/>
          <w:color w:val="auto"/>
          <w:szCs w:val="24"/>
          <w:lang w:val="en-US"/>
        </w:rPr>
        <w:t>et al</w:t>
      </w:r>
      <w:r w:rsidRPr="00B44278">
        <w:rPr>
          <w:rFonts w:eastAsia="Times New Roman" w:cs="Times New Roman"/>
          <w:b w:val="0"/>
          <w:iCs w:val="0"/>
          <w:color w:val="auto"/>
          <w:szCs w:val="24"/>
          <w:lang w:val="en-US"/>
        </w:rPr>
        <w:t xml:space="preserve">., 2023; Almatroodi </w:t>
      </w:r>
      <w:r w:rsidR="00424714" w:rsidRPr="00B44278">
        <w:rPr>
          <w:rFonts w:eastAsia="Times New Roman" w:cs="Times New Roman"/>
          <w:b w:val="0"/>
          <w:i/>
          <w:iCs w:val="0"/>
          <w:color w:val="auto"/>
          <w:szCs w:val="24"/>
          <w:lang w:val="en-US"/>
        </w:rPr>
        <w:t>et al</w:t>
      </w:r>
      <w:r w:rsidRPr="00B44278">
        <w:rPr>
          <w:rFonts w:eastAsia="Times New Roman" w:cs="Times New Roman"/>
          <w:b w:val="0"/>
          <w:iCs w:val="0"/>
          <w:color w:val="auto"/>
          <w:szCs w:val="24"/>
          <w:lang w:val="en-US"/>
        </w:rPr>
        <w:t>., 2024).</w:t>
      </w:r>
    </w:p>
    <w:p w14:paraId="1690BA49" w14:textId="4B9E98C3" w:rsidR="003671F4" w:rsidRPr="00B44278" w:rsidRDefault="003671F4" w:rsidP="003671F4">
      <w:pPr>
        <w:pStyle w:val="Heading9"/>
        <w:spacing w:line="480" w:lineRule="auto"/>
        <w:rPr>
          <w:rFonts w:eastAsia="Times New Roman" w:cs="Times New Roman"/>
          <w:b w:val="0"/>
          <w:iCs w:val="0"/>
          <w:color w:val="auto"/>
          <w:szCs w:val="24"/>
          <w:lang w:val="en-US"/>
        </w:rPr>
      </w:pPr>
      <w:r w:rsidRPr="00B44278">
        <w:rPr>
          <w:rFonts w:eastAsia="Times New Roman" w:cs="Times New Roman"/>
          <w:b w:val="0"/>
          <w:iCs w:val="0"/>
          <w:color w:val="auto"/>
          <w:szCs w:val="24"/>
          <w:lang w:val="en-US"/>
        </w:rPr>
        <w:t xml:space="preserve">The anticancer properties of phytochemicals occur through a wide range of biological activities such as inducing apoptosis, inhibiting angiogenic signaling pathways, dampening chronic inflammation and reducing oxidative stress by neutralizing reactive oxygen species (ROS). They work on several targets at once, unlike therapies that target one molecular target, and because of this, are less likely to fail due to mutations that contribute to resistance, like those in KRAS or BRAF, in CRC (Ganai </w:t>
      </w:r>
      <w:r w:rsidR="00424714" w:rsidRPr="00B44278">
        <w:rPr>
          <w:rFonts w:eastAsia="Times New Roman" w:cs="Times New Roman"/>
          <w:b w:val="0"/>
          <w:i/>
          <w:iCs w:val="0"/>
          <w:color w:val="auto"/>
          <w:szCs w:val="24"/>
          <w:lang w:val="en-US"/>
        </w:rPr>
        <w:t>et al</w:t>
      </w:r>
      <w:r w:rsidRPr="00B44278">
        <w:rPr>
          <w:rFonts w:eastAsia="Times New Roman" w:cs="Times New Roman"/>
          <w:b w:val="0"/>
          <w:iCs w:val="0"/>
          <w:color w:val="auto"/>
          <w:szCs w:val="24"/>
          <w:lang w:val="en-US"/>
        </w:rPr>
        <w:t xml:space="preserve">., 2021). The high abundance of these compounds in edible plants makes them good candidates for use in prevention or treatment, especially in low and middle income countries where access to costly cancer treatment is limited. The ability of phytochemicals to target multiple hallmarks of cancer has been shown in numerous experimental studies and early-stage clinical trials, suggesting that their effect on CRC may be more comprehensive and a more holistic approach to its management (Imran </w:t>
      </w:r>
      <w:r w:rsidR="00424714" w:rsidRPr="00B44278">
        <w:rPr>
          <w:rFonts w:eastAsia="Times New Roman" w:cs="Times New Roman"/>
          <w:b w:val="0"/>
          <w:i/>
          <w:iCs w:val="0"/>
          <w:color w:val="auto"/>
          <w:szCs w:val="24"/>
          <w:lang w:val="en-US"/>
        </w:rPr>
        <w:t>et al</w:t>
      </w:r>
      <w:r w:rsidRPr="00B44278">
        <w:rPr>
          <w:rFonts w:eastAsia="Times New Roman" w:cs="Times New Roman"/>
          <w:b w:val="0"/>
          <w:iCs w:val="0"/>
          <w:color w:val="auto"/>
          <w:szCs w:val="24"/>
          <w:lang w:val="en-US"/>
        </w:rPr>
        <w:t xml:space="preserve">., 2019; Almatroodi </w:t>
      </w:r>
      <w:r w:rsidR="00424714" w:rsidRPr="00B44278">
        <w:rPr>
          <w:rFonts w:eastAsia="Times New Roman" w:cs="Times New Roman"/>
          <w:b w:val="0"/>
          <w:i/>
          <w:iCs w:val="0"/>
          <w:color w:val="auto"/>
          <w:szCs w:val="24"/>
          <w:lang w:val="en-US"/>
        </w:rPr>
        <w:t>et al</w:t>
      </w:r>
      <w:r w:rsidRPr="00B44278">
        <w:rPr>
          <w:rFonts w:eastAsia="Times New Roman" w:cs="Times New Roman"/>
          <w:b w:val="0"/>
          <w:iCs w:val="0"/>
          <w:color w:val="auto"/>
          <w:szCs w:val="24"/>
          <w:lang w:val="en-US"/>
        </w:rPr>
        <w:t>., 2024).</w:t>
      </w:r>
    </w:p>
    <w:p w14:paraId="4DBE147D" w14:textId="60E5C11D" w:rsidR="003671F4" w:rsidRPr="00B44278" w:rsidRDefault="003671F4" w:rsidP="003671F4">
      <w:pPr>
        <w:pStyle w:val="Heading9"/>
        <w:spacing w:line="480" w:lineRule="auto"/>
        <w:rPr>
          <w:rFonts w:eastAsia="Times New Roman" w:cs="Times New Roman"/>
          <w:b w:val="0"/>
          <w:iCs w:val="0"/>
          <w:color w:val="auto"/>
          <w:szCs w:val="24"/>
          <w:lang w:val="en-US"/>
        </w:rPr>
      </w:pPr>
      <w:r w:rsidRPr="00B44278">
        <w:rPr>
          <w:rFonts w:eastAsia="Times New Roman" w:cs="Times New Roman"/>
          <w:b w:val="0"/>
          <w:iCs w:val="0"/>
          <w:color w:val="auto"/>
          <w:szCs w:val="24"/>
          <w:lang w:val="en-US"/>
        </w:rPr>
        <w:lastRenderedPageBreak/>
        <w:t xml:space="preserve">The flavonoids luteolin and quercetin are two of the most widely studied phytochemicals, both with strong anticancer properties. Luteolin has been shown to induce apoptosis in CRC cells from 10–50 μM by upregulating the pro-apoptotic mediators BAX and caspase-3, while down-regulating Bcl-2, an anti-apoptotic protein. The molecular effects are reflected in significant inhibition of tumour growth in xenograft models (Singh Tuli </w:t>
      </w:r>
      <w:r w:rsidR="00424714" w:rsidRPr="00B44278">
        <w:rPr>
          <w:rFonts w:eastAsia="Times New Roman" w:cs="Times New Roman"/>
          <w:b w:val="0"/>
          <w:i/>
          <w:iCs w:val="0"/>
          <w:color w:val="auto"/>
          <w:szCs w:val="24"/>
          <w:lang w:val="en-US"/>
        </w:rPr>
        <w:t>et al</w:t>
      </w:r>
      <w:r w:rsidRPr="00B44278">
        <w:rPr>
          <w:rFonts w:eastAsia="Times New Roman" w:cs="Times New Roman"/>
          <w:b w:val="0"/>
          <w:iCs w:val="0"/>
          <w:color w:val="auto"/>
          <w:szCs w:val="24"/>
          <w:lang w:val="en-US"/>
        </w:rPr>
        <w:t xml:space="preserve">., 2022). Quercetin has also exhibited strong activity against CRC, as it has been shown to inhibit the Wnt/β-catenin signaling cascade, which is involved in the majority of colorectal tumours, and led to a significant reduction in CRC tumours in experimental animal studies (Duan </w:t>
      </w:r>
      <w:r w:rsidR="00424714" w:rsidRPr="00B44278">
        <w:rPr>
          <w:rFonts w:eastAsia="Times New Roman" w:cs="Times New Roman"/>
          <w:b w:val="0"/>
          <w:i/>
          <w:iCs w:val="0"/>
          <w:color w:val="auto"/>
          <w:szCs w:val="24"/>
          <w:lang w:val="en-US"/>
        </w:rPr>
        <w:t>et al</w:t>
      </w:r>
      <w:r w:rsidRPr="00B44278">
        <w:rPr>
          <w:rFonts w:eastAsia="Times New Roman" w:cs="Times New Roman"/>
          <w:b w:val="0"/>
          <w:iCs w:val="0"/>
          <w:color w:val="auto"/>
          <w:szCs w:val="24"/>
          <w:lang w:val="en-US"/>
        </w:rPr>
        <w:t xml:space="preserve">., 2025). Moreover, phenolic acids such as caffeic acid and ferulic acid play a role in chemoprevention by exerting antioxidant properties that prevent accumulation of mutations and genomic damage in colorectal epithelial cells caused by ROS (Fakhri </w:t>
      </w:r>
      <w:r w:rsidR="00424714" w:rsidRPr="00B44278">
        <w:rPr>
          <w:rFonts w:eastAsia="Times New Roman" w:cs="Times New Roman"/>
          <w:b w:val="0"/>
          <w:i/>
          <w:iCs w:val="0"/>
          <w:color w:val="auto"/>
          <w:szCs w:val="24"/>
          <w:lang w:val="en-US"/>
        </w:rPr>
        <w:t>et al</w:t>
      </w:r>
      <w:r w:rsidRPr="00B44278">
        <w:rPr>
          <w:rFonts w:eastAsia="Times New Roman" w:cs="Times New Roman"/>
          <w:b w:val="0"/>
          <w:iCs w:val="0"/>
          <w:color w:val="auto"/>
          <w:szCs w:val="24"/>
          <w:lang w:val="en-US"/>
        </w:rPr>
        <w:t xml:space="preserve">., 2025). Caffeic acid phenethyl ester (CAPE), a derivative of caffeic acid, inhibits PI3K/AKT signaling and inhibits HCT-116 cells proliferation at 20 μM (Kapare </w:t>
      </w:r>
      <w:r w:rsidR="00424714" w:rsidRPr="00B44278">
        <w:rPr>
          <w:rFonts w:eastAsia="Times New Roman" w:cs="Times New Roman"/>
          <w:b w:val="0"/>
          <w:i/>
          <w:iCs w:val="0"/>
          <w:color w:val="auto"/>
          <w:szCs w:val="24"/>
          <w:lang w:val="en-US"/>
        </w:rPr>
        <w:t>et al</w:t>
      </w:r>
      <w:r w:rsidRPr="00B44278">
        <w:rPr>
          <w:rFonts w:eastAsia="Times New Roman" w:cs="Times New Roman"/>
          <w:b w:val="0"/>
          <w:iCs w:val="0"/>
          <w:color w:val="auto"/>
          <w:szCs w:val="24"/>
          <w:lang w:val="en-US"/>
        </w:rPr>
        <w:t xml:space="preserve">., 2022). Additionally, CAPE has been shown to increase the sensitivity of 5-fluorouracil (5-FU), and thus the therapeutic efficacy, in preclinical models of CRC (Chuu </w:t>
      </w:r>
      <w:r w:rsidR="00424714" w:rsidRPr="00B44278">
        <w:rPr>
          <w:rFonts w:eastAsia="Times New Roman" w:cs="Times New Roman"/>
          <w:b w:val="0"/>
          <w:i/>
          <w:iCs w:val="0"/>
          <w:color w:val="auto"/>
          <w:szCs w:val="24"/>
          <w:lang w:val="en-US"/>
        </w:rPr>
        <w:t>et al</w:t>
      </w:r>
      <w:r w:rsidRPr="00B44278">
        <w:rPr>
          <w:rFonts w:eastAsia="Times New Roman" w:cs="Times New Roman"/>
          <w:b w:val="0"/>
          <w:iCs w:val="0"/>
          <w:color w:val="auto"/>
          <w:szCs w:val="24"/>
          <w:lang w:val="en-US"/>
        </w:rPr>
        <w:t xml:space="preserve">., 2012; Kapare </w:t>
      </w:r>
      <w:r w:rsidR="00424714" w:rsidRPr="00B44278">
        <w:rPr>
          <w:rFonts w:eastAsia="Times New Roman" w:cs="Times New Roman"/>
          <w:b w:val="0"/>
          <w:i/>
          <w:iCs w:val="0"/>
          <w:color w:val="auto"/>
          <w:szCs w:val="24"/>
          <w:lang w:val="en-US"/>
        </w:rPr>
        <w:t>et al</w:t>
      </w:r>
      <w:r w:rsidRPr="00B44278">
        <w:rPr>
          <w:rFonts w:eastAsia="Times New Roman" w:cs="Times New Roman"/>
          <w:b w:val="0"/>
          <w:iCs w:val="0"/>
          <w:color w:val="auto"/>
          <w:szCs w:val="24"/>
          <w:lang w:val="en-US"/>
        </w:rPr>
        <w:t xml:space="preserve">., 2022; Fakhri </w:t>
      </w:r>
      <w:r w:rsidR="00424714" w:rsidRPr="00B44278">
        <w:rPr>
          <w:rFonts w:eastAsia="Times New Roman" w:cs="Times New Roman"/>
          <w:b w:val="0"/>
          <w:i/>
          <w:iCs w:val="0"/>
          <w:color w:val="auto"/>
          <w:szCs w:val="24"/>
          <w:lang w:val="en-US"/>
        </w:rPr>
        <w:t>et al</w:t>
      </w:r>
      <w:r w:rsidRPr="00B44278">
        <w:rPr>
          <w:rFonts w:eastAsia="Times New Roman" w:cs="Times New Roman"/>
          <w:b w:val="0"/>
          <w:iCs w:val="0"/>
          <w:color w:val="auto"/>
          <w:szCs w:val="24"/>
          <w:lang w:val="en-US"/>
        </w:rPr>
        <w:t>., 2025).</w:t>
      </w:r>
    </w:p>
    <w:p w14:paraId="7E5D1350" w14:textId="1024CD7D" w:rsidR="001469C4" w:rsidRPr="00B44278" w:rsidRDefault="00802A6C" w:rsidP="003671F4">
      <w:pPr>
        <w:pStyle w:val="Heading9"/>
        <w:rPr>
          <w:rFonts w:eastAsia="Times New Roman" w:cs="Times New Roman"/>
          <w:szCs w:val="24"/>
        </w:rPr>
      </w:pPr>
      <w:r w:rsidRPr="00B44278">
        <w:rPr>
          <w:rFonts w:eastAsia="Times New Roman" w:cs="Times New Roman"/>
          <w:szCs w:val="24"/>
        </w:rPr>
        <w:t>2.4.2</w:t>
      </w:r>
      <w:r w:rsidRPr="00B44278">
        <w:rPr>
          <w:rFonts w:eastAsia="Times New Roman" w:cs="Times New Roman"/>
          <w:szCs w:val="24"/>
        </w:rPr>
        <w:tab/>
        <w:t>Luteolin: Structure and Pharmacological Properties</w:t>
      </w:r>
    </w:p>
    <w:p w14:paraId="53BAEBC2" w14:textId="439BD9B4" w:rsidR="001469C4" w:rsidRPr="00B44278" w:rsidRDefault="007276E4">
      <w:pPr>
        <w:pBdr>
          <w:top w:val="nil"/>
          <w:left w:val="nil"/>
          <w:bottom w:val="nil"/>
          <w:right w:val="nil"/>
          <w:between w:val="nil"/>
        </w:pBdr>
        <w:spacing w:before="280" w:after="280" w:line="480" w:lineRule="auto"/>
        <w:jc w:val="both"/>
        <w:rPr>
          <w:rFonts w:ascii="Times New Roman" w:eastAsia="Times New Roman" w:hAnsi="Times New Roman" w:cs="Times New Roman"/>
          <w:sz w:val="24"/>
          <w:szCs w:val="24"/>
        </w:rPr>
      </w:pPr>
      <w:r w:rsidRPr="00B44278">
        <w:rPr>
          <w:rFonts w:ascii="Times New Roman" w:hAnsi="Times New Roman" w:cs="Times New Roman"/>
          <w:sz w:val="24"/>
          <w:szCs w:val="24"/>
        </w:rPr>
        <w:t>Structurally, luteolin possesses the characteristic C6–C3–C6 flavonoid framework built around a 2-phenyl-1-benzopyran-4-one nucleus. Its molecular architecture is distinguished by hydroxyl substituents located at the 3′, 4′, 5, and 7 positions, together with a C2=C3 unsaturation within the heterocyclic C-ring</w:t>
      </w:r>
      <w:r w:rsidR="00802A6C" w:rsidRPr="00B44278">
        <w:rPr>
          <w:rFonts w:ascii="Times New Roman" w:eastAsia="Times New Roman" w:hAnsi="Times New Roman" w:cs="Times New Roman"/>
          <w:sz w:val="24"/>
          <w:szCs w:val="24"/>
        </w:rPr>
        <w:t xml:space="preserve">. This configuration, depicted in Fig. 2.4 enhances its electron-donating capacity, contributing to its antioxidant activity and ability to chelate metal ions. The catechol moiety (3',4'-dihydroxy) in the B-ring is critical for ROS scavenging and enzyme inhibition, while the planar structure facilitates interactions with cellular targets like kinases and transcription factors. </w:t>
      </w:r>
    </w:p>
    <w:p w14:paraId="52D48050" w14:textId="12340EA4" w:rsidR="00874704" w:rsidRPr="00B44278" w:rsidRDefault="00874704" w:rsidP="00874704">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lastRenderedPageBreak/>
        <w:t xml:space="preserve">Luteolin possesses potent antioxidant and anti-inflammatory effects with significant implications for the pathogenesis of colorectal cancer (CRC). The hydroxyl groups are capable of effectively scavenging reactive oxygen species (ROS) which can lead to oxidative DNA damage, which is known to play a significant role in about 10-15% of sporadic cases of CRC (Adebayo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2023). HCT-116 cells treated with 20 μM luteolin markedly reduce ROS production within the cells, preventing lipid peroxidation and mutagenesis (Kapare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2022). In addition to redox modulation, luteolin has strong anti-inflammatory properties, and it inhibits the NF-κB and STAT3 signaling pathways, resulting in significant decreases for pro-inflammatory cytokines like IL-6, TNF-α and IL-1β (Fakhri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2025). In models of CRC associated with chronic inflammation, like inflammatory bowel disease, this is especially important, as chronic inflammation accounts for approximately 15–20% of CRC cases (Adebayo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2023).</w:t>
      </w:r>
    </w:p>
    <w:p w14:paraId="35784E55" w14:textId="49A13B1B" w:rsidR="00874704" w:rsidRPr="00B44278" w:rsidRDefault="00874704" w:rsidP="00874704">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Luteolin possesses significant anticancer, anti-angiogenic, anti-metastatic, antioxidant and anti-inflammatory properties. It promotes apoptosis of CRC cell lines, such as HT-29 and SW480, in a concentration-dependent manner at 10–60 μM by increasing pro-apoptotic markers (Bax, caspase-3 and caspase-9) and decreasing the anti-apoptotic protein Bcl-2, causing marked growth inhibition (Singh Tuli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2023; Zhu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2024). Luteolin inhibits key oncogenic pathways that are involved in almost 80% of all CRCs such as Wnt/β-catenin (with decreased c-Myc expression), PI3K/AKT, and MAPK/ERK signaling (Aigner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2025). Luteolin has been shown to decrease tumor volume by 40–60%, and formation of aberrant crypt foci (ACF) by about 50% in AOM/DSS-induced mouse models at a dosage of 20–50 mg/kg (</w:t>
      </w:r>
      <w:r w:rsidRPr="00B44278">
        <w:rPr>
          <w:rFonts w:ascii="Times New Roman" w:eastAsia="Times New Roman" w:hAnsi="Times New Roman" w:cs="Times New Roman"/>
          <w:sz w:val="24"/>
          <w:szCs w:val="24"/>
          <w:highlight w:val="white"/>
        </w:rPr>
        <w:t>Ashokkumar and Sudhandiran, 2011</w:t>
      </w:r>
      <w:r w:rsidRPr="00B44278">
        <w:rPr>
          <w:rFonts w:ascii="Times New Roman" w:eastAsia="Arial" w:hAnsi="Times New Roman" w:cs="Times New Roman"/>
          <w:sz w:val="24"/>
          <w:szCs w:val="24"/>
          <w:highlight w:val="white"/>
        </w:rPr>
        <w:t>)</w:t>
      </w:r>
      <w:r w:rsidRPr="00B44278">
        <w:rPr>
          <w:rFonts w:ascii="Times New Roman" w:eastAsia="Times New Roman" w:hAnsi="Times New Roman" w:cs="Times New Roman"/>
          <w:sz w:val="24"/>
          <w:szCs w:val="24"/>
        </w:rPr>
        <w:t xml:space="preserve">. Moreover, luteolin exerts anti-angiogenic and anti-metastatic effects through the repression of the expression of VEGFA and MMP-2/9, the suppression of invasion capacity in xenograft models, and the </w:t>
      </w:r>
      <w:r w:rsidRPr="00B44278">
        <w:rPr>
          <w:rFonts w:ascii="Times New Roman" w:eastAsia="Times New Roman" w:hAnsi="Times New Roman" w:cs="Times New Roman"/>
          <w:sz w:val="24"/>
          <w:szCs w:val="24"/>
        </w:rPr>
        <w:lastRenderedPageBreak/>
        <w:t xml:space="preserve">downregulation of markers for epithelial–mesenchymal transition (vimentin and N-cadherin) involved in the metastatic potential of advanced CRC (Rocchetti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i/>
          <w:sz w:val="24"/>
          <w:szCs w:val="24"/>
        </w:rPr>
        <w:t>.,</w:t>
      </w:r>
      <w:r w:rsidRPr="00B44278">
        <w:rPr>
          <w:rFonts w:ascii="Times New Roman" w:eastAsia="Times New Roman" w:hAnsi="Times New Roman" w:cs="Times New Roman"/>
          <w:sz w:val="24"/>
          <w:szCs w:val="24"/>
        </w:rPr>
        <w:t xml:space="preserve"> 2023).</w:t>
      </w:r>
    </w:p>
    <w:p w14:paraId="4FBA2853" w14:textId="77777777" w:rsidR="007F64A6" w:rsidRPr="00B44278" w:rsidRDefault="007F64A6" w:rsidP="007F64A6">
      <w:pPr>
        <w:pStyle w:val="Heading8"/>
        <w:rPr>
          <w:rFonts w:eastAsia="Times New Roman" w:cs="Times New Roman"/>
          <w:szCs w:val="24"/>
        </w:rPr>
      </w:pPr>
      <w:r w:rsidRPr="00B44278">
        <w:rPr>
          <w:rFonts w:eastAsia="Times New Roman" w:cs="Times New Roman"/>
          <w:szCs w:val="24"/>
        </w:rPr>
        <w:t>2.5</w:t>
      </w:r>
      <w:r w:rsidRPr="00B44278">
        <w:rPr>
          <w:rFonts w:eastAsia="Times New Roman" w:cs="Times New Roman"/>
          <w:szCs w:val="24"/>
        </w:rPr>
        <w:tab/>
        <w:t xml:space="preserve">Network Pharmacology in Drug Discovery </w:t>
      </w:r>
    </w:p>
    <w:p w14:paraId="0B2CB021" w14:textId="77777777" w:rsidR="007E11DA" w:rsidRPr="00B44278" w:rsidRDefault="007E11DA" w:rsidP="007E11DA">
      <w:pPr>
        <w:spacing w:line="480" w:lineRule="auto"/>
        <w:jc w:val="both"/>
        <w:rPr>
          <w:rFonts w:ascii="Times New Roman" w:eastAsia="Times New Roman" w:hAnsi="Times New Roman" w:cs="Times New Roman"/>
          <w:sz w:val="24"/>
          <w:szCs w:val="24"/>
        </w:rPr>
      </w:pPr>
      <w:bookmarkStart w:id="0" w:name="_heading=h.edp7yj8vebzd" w:colFirst="0" w:colLast="0"/>
      <w:bookmarkEnd w:id="0"/>
      <w:r w:rsidRPr="00B44278">
        <w:rPr>
          <w:rFonts w:ascii="Times New Roman" w:eastAsia="Times New Roman" w:hAnsi="Times New Roman" w:cs="Times New Roman"/>
          <w:sz w:val="24"/>
          <w:szCs w:val="24"/>
        </w:rPr>
        <w:t>Network pharmacology is a revolution in drug discovery, which combines systems biology, bioinformatics, and multi-omics, to chart complex drug-target-disease interactions. It is different from traditional single-target methods as it builds dynamic interactomes of drugs, targets, and pathways with disease, and is based on databases, allowing the prediction of therapeutic mechanisms and synergies (Li and Kar, 2025). The method is well adapted to the study of multi-target drugs such as phytochemicals in complex diseases such as CRC.</w:t>
      </w:r>
    </w:p>
    <w:p w14:paraId="121044BD" w14:textId="289EEB74" w:rsidR="005F11C6" w:rsidRPr="00B44278" w:rsidRDefault="005F11C6" w:rsidP="005F11C6">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Network pharmacology is a method used to analyze biological systems as networks, in order to discover key nodes (genes, proteins) and pathways which are altered by drugs (Olanrewaju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2024). It uses computational tools to put together genomic, proteomic and metabolic data, predicting the efficacy and side effects of drugs. Drug repurposing, polypharmacology and personalized medicine applications (Li and Kar, 2025). In cancer, it correlates oncogenic pathways (e.g. Wnt/β-catenin, PI3K/AKT) and prioritizes lead compounds, thereby minimizing preclinical failures. In CRC, for example, novel targets of 5-FU have been identified by network analyses, which improves the efficacy of combination therapies (Liao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2022; Huang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2022).</w:t>
      </w:r>
    </w:p>
    <w:p w14:paraId="0661C282" w14:textId="0F296925" w:rsidR="005F11C6" w:rsidRPr="00B44278" w:rsidRDefault="005F11C6" w:rsidP="005F11C6">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Phytochemicals with their multi-target activity are well suited for network pharmacology and to elucidate how they interact with cancer pathways. It integrates databases such as TCMSP and DisGeNET, which predict the interactions between phytochemicals and their targets, and shows 20-30 targets per compound in CRC, including EGFR, MAPK and NF-κB (Olanrewaju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2024</w:t>
      </w:r>
      <w:r w:rsidRPr="00B44278">
        <w:rPr>
          <w:rFonts w:ascii="Times New Roman" w:eastAsia="Times New Roman" w:hAnsi="Times New Roman" w:cs="Times New Roman"/>
          <w:i/>
          <w:sz w:val="24"/>
          <w:szCs w:val="24"/>
        </w:rPr>
        <w:t>). In silico</w:t>
      </w:r>
      <w:r w:rsidRPr="00B44278">
        <w:rPr>
          <w:rFonts w:ascii="Times New Roman" w:eastAsia="Times New Roman" w:hAnsi="Times New Roman" w:cs="Times New Roman"/>
          <w:sz w:val="24"/>
          <w:szCs w:val="24"/>
        </w:rPr>
        <w:t xml:space="preserve"> and </w:t>
      </w:r>
      <w:r w:rsidRPr="00B44278">
        <w:rPr>
          <w:rFonts w:ascii="Times New Roman" w:eastAsia="Times New Roman" w:hAnsi="Times New Roman" w:cs="Times New Roman"/>
          <w:i/>
          <w:sz w:val="24"/>
          <w:szCs w:val="24"/>
        </w:rPr>
        <w:t>In vivo</w:t>
      </w:r>
      <w:r w:rsidRPr="00B44278">
        <w:rPr>
          <w:rFonts w:ascii="Times New Roman" w:eastAsia="Times New Roman" w:hAnsi="Times New Roman" w:cs="Times New Roman"/>
          <w:sz w:val="24"/>
          <w:szCs w:val="24"/>
        </w:rPr>
        <w:t xml:space="preserve">, recent studies have demonstrated that quercetin and curcumin induce modulation of Wnt and PI3K/AKT which in turn inhibit </w:t>
      </w:r>
      <w:r w:rsidRPr="00B44278">
        <w:rPr>
          <w:rFonts w:ascii="Times New Roman" w:eastAsia="Times New Roman" w:hAnsi="Times New Roman" w:cs="Times New Roman"/>
          <w:sz w:val="24"/>
          <w:szCs w:val="24"/>
        </w:rPr>
        <w:lastRenderedPageBreak/>
        <w:t>tumor growth (</w:t>
      </w:r>
      <w:r w:rsidRPr="00B44278">
        <w:rPr>
          <w:rFonts w:ascii="Times New Roman" w:eastAsia="Times New Roman" w:hAnsi="Times New Roman" w:cs="Times New Roman"/>
          <w:sz w:val="24"/>
          <w:szCs w:val="24"/>
          <w:highlight w:val="white"/>
        </w:rPr>
        <w:t>Reyes-Farias and Carrasco-Pozo, 2019</w:t>
      </w:r>
      <w:r w:rsidRPr="00B44278">
        <w:rPr>
          <w:rFonts w:ascii="Times New Roman" w:eastAsia="Times New Roman" w:hAnsi="Times New Roman" w:cs="Times New Roman"/>
          <w:sz w:val="24"/>
          <w:szCs w:val="24"/>
        </w:rPr>
        <w:t xml:space="preserve">; Shahbaz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2023</w:t>
      </w:r>
      <w:r w:rsidRPr="00B44278">
        <w:rPr>
          <w:rFonts w:ascii="Times New Roman" w:eastAsia="Arial" w:hAnsi="Times New Roman" w:cs="Times New Roman"/>
          <w:sz w:val="24"/>
          <w:szCs w:val="24"/>
          <w:highlight w:val="white"/>
        </w:rPr>
        <w:t>)</w:t>
      </w:r>
      <w:r w:rsidRPr="00B44278">
        <w:rPr>
          <w:rFonts w:ascii="Times New Roman" w:eastAsia="Times New Roman" w:hAnsi="Times New Roman" w:cs="Times New Roman"/>
          <w:sz w:val="24"/>
          <w:szCs w:val="24"/>
        </w:rPr>
        <w:t>. This will shorten lead optimization time and enable identification of synergistic combinations.</w:t>
      </w:r>
    </w:p>
    <w:p w14:paraId="52607751" w14:textId="28DBBC3F" w:rsidR="00F76E75" w:rsidRPr="00B44278" w:rsidRDefault="005F11C6">
      <w:pPr>
        <w:pBdr>
          <w:top w:val="nil"/>
          <w:left w:val="nil"/>
          <w:bottom w:val="nil"/>
          <w:right w:val="nil"/>
          <w:between w:val="nil"/>
        </w:pBdr>
        <w:spacing w:before="280" w:after="28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The various targets of luteolin in CRC, such as inducing apoptosis and inhibiting Wnt/β-catenin, are in line with network pharmacology. This maps the interactions of luteolin with hub genes and predicts the effect of luteolin on these targets in CRC. In this study, the CRC interactome of luteolin is first mapped using network pharmacology and then validated in In vivo Drosophila system, which will help develop luteolin as a low-cost and low-toxicity therapeutic agent for CRC.</w:t>
      </w:r>
    </w:p>
    <w:p w14:paraId="74C57155" w14:textId="77777777" w:rsidR="00A866B8" w:rsidRPr="00B44278" w:rsidRDefault="00A866B8" w:rsidP="00A866B8">
      <w:pPr>
        <w:pStyle w:val="Heading9"/>
        <w:rPr>
          <w:rFonts w:eastAsia="Times New Roman" w:cs="Times New Roman"/>
          <w:szCs w:val="24"/>
        </w:rPr>
      </w:pPr>
      <w:r w:rsidRPr="00B44278">
        <w:rPr>
          <w:rFonts w:eastAsia="Times New Roman" w:cs="Times New Roman"/>
          <w:szCs w:val="24"/>
        </w:rPr>
        <w:t xml:space="preserve">2.5.1 </w:t>
      </w:r>
      <w:r w:rsidRPr="00B44278">
        <w:rPr>
          <w:rFonts w:eastAsia="Times New Roman" w:cs="Times New Roman"/>
          <w:szCs w:val="24"/>
        </w:rPr>
        <w:tab/>
      </w:r>
      <w:r w:rsidRPr="00B44278">
        <w:rPr>
          <w:rFonts w:eastAsia="Times New Roman" w:cs="Times New Roman"/>
          <w:i/>
          <w:szCs w:val="24"/>
        </w:rPr>
        <w:t>Drosophila melanogaster</w:t>
      </w:r>
      <w:r w:rsidRPr="00B44278">
        <w:rPr>
          <w:rFonts w:eastAsia="Times New Roman" w:cs="Times New Roman"/>
          <w:szCs w:val="24"/>
        </w:rPr>
        <w:t xml:space="preserve"> as a Model for Cancer Research</w:t>
      </w:r>
    </w:p>
    <w:p w14:paraId="5599CA61" w14:textId="77777777" w:rsidR="00A866B8" w:rsidRPr="00B44278" w:rsidRDefault="00A866B8" w:rsidP="00A866B8">
      <w:pPr>
        <w:spacing w:before="280" w:after="28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The current drawbacks in CRC treatment, including toxicity, cost, and drug resistance, make it essential to have an efficient preclinical model to assess new drugs, including luteolin. The model system Drosophila is an excellent In vivo system for cancer research, because of its genetic conservation, physiological relevance, and economy of use. Drosophila offers a powerful system to study CRC pathogenesis and test phytochemicals, such as luteolin, as more than 75% of human disease related genes have orthologs in Drosophila. The advantage of having a short life cycle and high-throughput also fits this study, which integrates network pharmacology with in vivo validation to explore luteolin's anti-CRC activity and its effect on physiological changes in the case of wild-type flies (WT).</w:t>
      </w:r>
    </w:p>
    <w:p w14:paraId="7D57434D" w14:textId="64ED5EBA" w:rsidR="001469C4" w:rsidRPr="00B44278" w:rsidRDefault="00A866B8" w:rsidP="00A866B8">
      <w:pPr>
        <w:spacing w:before="280" w:after="28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The midgut is very similar to the human colon, in which the intestinal stem cells (ISCs) give rise to the epithelial renewal of the colon, as seen in the fly (Sadaqat </w:t>
      </w:r>
      <w:r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2021; Silcock, 2024; Park </w:t>
      </w:r>
      <w:r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2025). Human CRC's adenoma-carcinoma sequence is recapitulated in chemically induced CRC models as conserved signaling pathways such as Wnt (Wingless), EGFR/RAS/MAPK and Notch regulate ISC proliferation and differentiation (Silcock, 2024). Familiarize flies with AOM or other cancer-provoking chemicals can cause tumor-like </w:t>
      </w:r>
      <w:r w:rsidRPr="00B44278">
        <w:rPr>
          <w:rFonts w:ascii="Times New Roman" w:eastAsia="Times New Roman" w:hAnsi="Times New Roman" w:cs="Times New Roman"/>
          <w:sz w:val="24"/>
          <w:szCs w:val="24"/>
        </w:rPr>
        <w:lastRenderedPageBreak/>
        <w:t xml:space="preserve">overgrowths that can reflect early stages of CRC in flies. Similar to human CRC, inflammation and microbiota dysbiosis are also triggers for the fly gut. </w:t>
      </w:r>
    </w:p>
    <w:p w14:paraId="0732B9EA" w14:textId="77777777" w:rsidR="001469C4" w:rsidRPr="00B44278" w:rsidRDefault="001469C4">
      <w:pPr>
        <w:pBdr>
          <w:top w:val="nil"/>
          <w:left w:val="nil"/>
          <w:bottom w:val="nil"/>
          <w:right w:val="nil"/>
          <w:between w:val="nil"/>
        </w:pBdr>
        <w:spacing w:before="280" w:after="280" w:line="480" w:lineRule="auto"/>
        <w:jc w:val="both"/>
        <w:rPr>
          <w:rFonts w:ascii="Times New Roman" w:eastAsia="Times New Roman" w:hAnsi="Times New Roman" w:cs="Times New Roman"/>
          <w:b/>
          <w:bCs/>
          <w:sz w:val="24"/>
          <w:szCs w:val="24"/>
        </w:rPr>
      </w:pPr>
    </w:p>
    <w:p w14:paraId="40130972" w14:textId="77777777" w:rsidR="001469C4" w:rsidRPr="00B44278" w:rsidRDefault="00802A6C">
      <w:pPr>
        <w:spacing w:before="280" w:after="280" w:line="480" w:lineRule="auto"/>
        <w:jc w:val="both"/>
        <w:rPr>
          <w:rFonts w:ascii="Times New Roman" w:eastAsia="Times New Roman" w:hAnsi="Times New Roman" w:cs="Times New Roman"/>
          <w:b/>
          <w:bCs/>
          <w:sz w:val="24"/>
          <w:szCs w:val="24"/>
        </w:rPr>
      </w:pPr>
      <w:r w:rsidRPr="00B44278">
        <w:rPr>
          <w:rFonts w:ascii="Times New Roman" w:eastAsia="Times New Roman" w:hAnsi="Times New Roman" w:cs="Times New Roman"/>
          <w:b/>
          <w:bCs/>
          <w:noProof/>
          <w:sz w:val="24"/>
          <w:szCs w:val="24"/>
          <w:lang w:val="en-US"/>
        </w:rPr>
        <w:drawing>
          <wp:inline distT="114300" distB="114300" distL="114300" distR="114300" wp14:anchorId="62336177" wp14:editId="682EFFA0">
            <wp:extent cx="5434013" cy="3838575"/>
            <wp:effectExtent l="0" t="0" r="0" b="0"/>
            <wp:docPr id="21"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4"/>
                    <a:srcRect/>
                    <a:stretch>
                      <a:fillRect/>
                    </a:stretch>
                  </pic:blipFill>
                  <pic:spPr>
                    <a:xfrm>
                      <a:off x="0" y="0"/>
                      <a:ext cx="5434013" cy="3838575"/>
                    </a:xfrm>
                    <a:prstGeom prst="rect">
                      <a:avLst/>
                    </a:prstGeom>
                    <a:ln/>
                  </pic:spPr>
                </pic:pic>
              </a:graphicData>
            </a:graphic>
          </wp:inline>
        </w:drawing>
      </w:r>
    </w:p>
    <w:p w14:paraId="355E202C" w14:textId="77777777" w:rsidR="001469C4" w:rsidRPr="00B44278" w:rsidRDefault="00802A6C">
      <w:pPr>
        <w:pBdr>
          <w:top w:val="nil"/>
          <w:left w:val="nil"/>
          <w:bottom w:val="nil"/>
          <w:right w:val="nil"/>
          <w:between w:val="nil"/>
        </w:pBdr>
        <w:spacing w:before="280" w:after="28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b/>
          <w:bCs/>
          <w:sz w:val="24"/>
          <w:szCs w:val="24"/>
        </w:rPr>
        <w:t xml:space="preserve">Figure 2.4: </w:t>
      </w:r>
      <w:r w:rsidRPr="00B44278">
        <w:rPr>
          <w:rFonts w:ascii="Times New Roman" w:eastAsia="Times New Roman" w:hAnsi="Times New Roman" w:cs="Times New Roman"/>
          <w:sz w:val="24"/>
          <w:szCs w:val="24"/>
        </w:rPr>
        <w:t>Structure of Luteolin (wikipedia)</w:t>
      </w:r>
    </w:p>
    <w:p w14:paraId="770515F1" w14:textId="77777777" w:rsidR="001469C4" w:rsidRPr="00B44278" w:rsidRDefault="00802A6C">
      <w:pPr>
        <w:pBdr>
          <w:top w:val="nil"/>
          <w:left w:val="nil"/>
          <w:bottom w:val="nil"/>
          <w:right w:val="nil"/>
          <w:between w:val="nil"/>
        </w:pBdr>
        <w:spacing w:before="280" w:after="280" w:line="480" w:lineRule="auto"/>
        <w:jc w:val="both"/>
        <w:rPr>
          <w:rFonts w:ascii="Times New Roman" w:eastAsia="Times New Roman" w:hAnsi="Times New Roman" w:cs="Times New Roman"/>
          <w:b/>
          <w:bCs/>
          <w:sz w:val="24"/>
          <w:szCs w:val="24"/>
        </w:rPr>
      </w:pPr>
      <w:r w:rsidRPr="00B44278">
        <w:rPr>
          <w:rFonts w:ascii="Times New Roman" w:hAnsi="Times New Roman" w:cs="Times New Roman"/>
          <w:sz w:val="24"/>
          <w:szCs w:val="24"/>
        </w:rPr>
        <w:br w:type="page"/>
      </w:r>
    </w:p>
    <w:p w14:paraId="2147AD63" w14:textId="4C051881" w:rsidR="005D6A16" w:rsidRPr="00B44278" w:rsidRDefault="005D6A16" w:rsidP="005D6A16">
      <w:pPr>
        <w:spacing w:before="280" w:after="28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lastRenderedPageBreak/>
        <w:t xml:space="preserve">In such models, aberrant crypt-like structures are formed in the intestines of WT flies within 7-14 days which allows for a fast evaluation of therapeutic compounds. Tumour-like growth is suppressed by 40% with luteolin at 50-100 μM in the diets of the wild-type flies (Yang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2024). The model is also validated by the ability of known CRC drugs, such as aspirin (1 mM) and metformin (5 mM), to also inhibit ISC proliferation. phenotypic assays, such as survival, gut morphology (via microscopy) and gene expression (qPCR for Wingless and Ras) offer quantifiable readouts as part of a high throughput screen of phytochemicals combined with network pharmacology predictions.</w:t>
      </w:r>
    </w:p>
    <w:p w14:paraId="6C4FE883" w14:textId="46F92977" w:rsidR="001469C4" w:rsidRPr="00B44278" w:rsidRDefault="00802A6C" w:rsidP="00DC4707">
      <w:pPr>
        <w:pStyle w:val="Heading9"/>
        <w:rPr>
          <w:rFonts w:eastAsia="Times New Roman" w:cs="Times New Roman"/>
          <w:szCs w:val="24"/>
        </w:rPr>
      </w:pPr>
      <w:r w:rsidRPr="00B44278">
        <w:rPr>
          <w:rFonts w:eastAsia="Times New Roman" w:cs="Times New Roman"/>
          <w:szCs w:val="24"/>
        </w:rPr>
        <w:t>2.5.2</w:t>
      </w:r>
      <w:r w:rsidRPr="00B44278">
        <w:rPr>
          <w:rFonts w:eastAsia="Times New Roman" w:cs="Times New Roman"/>
          <w:szCs w:val="24"/>
        </w:rPr>
        <w:tab/>
        <w:t>Advantages of Drosophila Models</w:t>
      </w:r>
      <w:r w:rsidR="000E3383" w:rsidRPr="00B44278">
        <w:rPr>
          <w:rFonts w:eastAsia="Times New Roman" w:cs="Times New Roman"/>
          <w:szCs w:val="24"/>
        </w:rPr>
        <w:t xml:space="preserve"> of CRC</w:t>
      </w:r>
    </w:p>
    <w:p w14:paraId="5097E4D9" w14:textId="36C7B52E" w:rsidR="001469C4" w:rsidRPr="00B44278" w:rsidRDefault="00802A6C">
      <w:pPr>
        <w:spacing w:before="280" w:after="28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Drosophila offers distinct advantages over mammalian models for CRC research. Its streamlined genome minimizes genetic redundancy, providing clearer phenotypic responses to carcinogens or drugs compared to mice, where compensatory pathways obscure effects. The short lifecycle (10-14 days) and high fecundity (thousands of progeny) enable rapid experiments, unlike rodents requiring 6-12 months. Cost is a major benefit, with WT fly experiments costing &lt;$0.01 per fly versus $100-$500 per rodent. Ethically, Drosophila bypasses vertebrate regulations (for example, EU Directive 2010/63), aligning with 3Rs principles (replacement, reduction, refinement). WT flies allow straightforward chemical induction of CRC-like phenotypes, simplifying setup compared to genetically engineered rodents, while maintaining relevance for screening luteolin’s e</w:t>
      </w:r>
      <w:r w:rsidR="0066063A" w:rsidRPr="00B44278">
        <w:rPr>
          <w:rFonts w:ascii="Times New Roman" w:eastAsia="Times New Roman" w:hAnsi="Times New Roman" w:cs="Times New Roman"/>
          <w:sz w:val="24"/>
          <w:szCs w:val="24"/>
        </w:rPr>
        <w:t>ffects</w:t>
      </w:r>
      <w:r w:rsidRPr="00B44278">
        <w:rPr>
          <w:rFonts w:ascii="Times New Roman" w:eastAsia="Times New Roman" w:hAnsi="Times New Roman" w:cs="Times New Roman"/>
          <w:sz w:val="24"/>
          <w:szCs w:val="24"/>
        </w:rPr>
        <w:t>.</w:t>
      </w:r>
    </w:p>
    <w:p w14:paraId="6E332B07" w14:textId="77777777" w:rsidR="001469C4" w:rsidRPr="00B44278" w:rsidRDefault="00802A6C" w:rsidP="00DC4707">
      <w:pPr>
        <w:pStyle w:val="Heading8"/>
        <w:rPr>
          <w:rFonts w:eastAsia="Times New Roman" w:cs="Times New Roman"/>
          <w:szCs w:val="24"/>
        </w:rPr>
      </w:pPr>
      <w:r w:rsidRPr="00B44278">
        <w:rPr>
          <w:rFonts w:eastAsia="Times New Roman" w:cs="Times New Roman"/>
          <w:szCs w:val="24"/>
        </w:rPr>
        <w:t xml:space="preserve">2.6 </w:t>
      </w:r>
      <w:r w:rsidRPr="00B44278">
        <w:rPr>
          <w:rFonts w:eastAsia="Times New Roman" w:cs="Times New Roman"/>
          <w:szCs w:val="24"/>
        </w:rPr>
        <w:tab/>
        <w:t>Integration of Network Pharmacology and Drosophila Models</w:t>
      </w:r>
    </w:p>
    <w:p w14:paraId="3C068F59" w14:textId="129B5783" w:rsidR="001469C4" w:rsidRPr="00B44278" w:rsidRDefault="00802A6C">
      <w:pPr>
        <w:pBdr>
          <w:top w:val="nil"/>
          <w:left w:val="nil"/>
          <w:bottom w:val="nil"/>
          <w:right w:val="nil"/>
          <w:between w:val="nil"/>
        </w:pBdr>
        <w:spacing w:before="280" w:after="28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The complexity of CRC necessitates innovative approaches to identify and validate novel therapeutics. Integrating network pharmacology with Drosophila</w:t>
      </w:r>
      <w:r w:rsidRPr="00B44278">
        <w:rPr>
          <w:rFonts w:ascii="Times New Roman" w:eastAsia="Times New Roman" w:hAnsi="Times New Roman" w:cs="Times New Roman"/>
          <w:i/>
          <w:iCs/>
          <w:sz w:val="24"/>
          <w:szCs w:val="24"/>
        </w:rPr>
        <w:t xml:space="preserve"> </w:t>
      </w:r>
      <w:r w:rsidRPr="00B44278">
        <w:rPr>
          <w:rFonts w:ascii="Times New Roman" w:eastAsia="Times New Roman" w:hAnsi="Times New Roman" w:cs="Times New Roman"/>
          <w:sz w:val="24"/>
          <w:szCs w:val="24"/>
        </w:rPr>
        <w:t xml:space="preserve">models offers a powerful strategy to bridge </w:t>
      </w:r>
      <w:r w:rsidR="000644BF" w:rsidRPr="00B44278">
        <w:rPr>
          <w:rFonts w:ascii="Times New Roman" w:eastAsia="Times New Roman" w:hAnsi="Times New Roman" w:cs="Times New Roman"/>
          <w:i/>
          <w:iCs/>
          <w:sz w:val="24"/>
          <w:szCs w:val="24"/>
        </w:rPr>
        <w:t>In silico</w:t>
      </w:r>
      <w:r w:rsidRPr="00B44278">
        <w:rPr>
          <w:rFonts w:ascii="Times New Roman" w:eastAsia="Times New Roman" w:hAnsi="Times New Roman" w:cs="Times New Roman"/>
          <w:sz w:val="24"/>
          <w:szCs w:val="24"/>
        </w:rPr>
        <w:t xml:space="preserve"> predictions with </w:t>
      </w:r>
      <w:r w:rsidR="000644BF" w:rsidRPr="00B44278">
        <w:rPr>
          <w:rFonts w:ascii="Times New Roman" w:eastAsia="Times New Roman" w:hAnsi="Times New Roman" w:cs="Times New Roman"/>
          <w:i/>
          <w:iCs/>
          <w:sz w:val="24"/>
          <w:szCs w:val="24"/>
        </w:rPr>
        <w:t>In vivo</w:t>
      </w:r>
      <w:r w:rsidRPr="00B44278">
        <w:rPr>
          <w:rFonts w:ascii="Times New Roman" w:eastAsia="Times New Roman" w:hAnsi="Times New Roman" w:cs="Times New Roman"/>
          <w:sz w:val="24"/>
          <w:szCs w:val="24"/>
        </w:rPr>
        <w:t xml:space="preserve"> validation, leveraging the strengths of systems-level analysis and a cost-effective, genetically relevant model. Network </w:t>
      </w:r>
      <w:r w:rsidRPr="00B44278">
        <w:rPr>
          <w:rFonts w:ascii="Times New Roman" w:eastAsia="Times New Roman" w:hAnsi="Times New Roman" w:cs="Times New Roman"/>
          <w:sz w:val="24"/>
          <w:szCs w:val="24"/>
        </w:rPr>
        <w:lastRenderedPageBreak/>
        <w:t>pharmacology maps luteolin’s multi-target interactions within CRC pathways, while WT Drosophila</w:t>
      </w:r>
      <w:r w:rsidRPr="00B44278">
        <w:rPr>
          <w:rFonts w:ascii="Times New Roman" w:eastAsia="Times New Roman" w:hAnsi="Times New Roman" w:cs="Times New Roman"/>
          <w:i/>
          <w:iCs/>
          <w:sz w:val="24"/>
          <w:szCs w:val="24"/>
        </w:rPr>
        <w:t xml:space="preserve"> </w:t>
      </w:r>
      <w:r w:rsidRPr="00B44278">
        <w:rPr>
          <w:rFonts w:ascii="Times New Roman" w:eastAsia="Times New Roman" w:hAnsi="Times New Roman" w:cs="Times New Roman"/>
          <w:sz w:val="24"/>
          <w:szCs w:val="24"/>
        </w:rPr>
        <w:t>provides a rapid, high-throughput platform to test its efficacy, aligning with this dissertation’s aim to elucidate luteolin’s anti-CRC potential. This approach addresses the limitations of conventional drug discovery, enhancing mechanistic understanding and therapeutic translation for resource-constrained settings.</w:t>
      </w:r>
    </w:p>
    <w:p w14:paraId="62B62112" w14:textId="16DD3F25" w:rsidR="001469C4" w:rsidRPr="00B44278" w:rsidRDefault="00802A6C">
      <w:pPr>
        <w:pBdr>
          <w:top w:val="nil"/>
          <w:left w:val="nil"/>
          <w:bottom w:val="nil"/>
          <w:right w:val="nil"/>
          <w:between w:val="nil"/>
        </w:pBdr>
        <w:spacing w:before="280" w:after="28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Network pharmacology, rooted in systems biology, constructs dynamic interactomes of drug-target-pathway-disease networks using bioinformatics tools and databases (Olanrewaju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2024). It predicts how compounds like luteolin modulate multiple CRC pathways by identifying hub genes and protein-protein interactions (PPIs). This holistic approach captures the polypharmacological effects of phytochemicals, contrasting with single-target methods that miss synergistic actions. Drosophila complements this by providing a living system to validate predictions, using WT flies exposed to carcinogens (AOM) to model CRC-like phenotypes. The fly’s conserved pathways and quantifiable readouts enable functional testing of network-derived targets, integrating </w:t>
      </w:r>
      <w:r w:rsidR="000644BF" w:rsidRPr="00B44278">
        <w:rPr>
          <w:rFonts w:ascii="Times New Roman" w:eastAsia="Times New Roman" w:hAnsi="Times New Roman" w:cs="Times New Roman"/>
          <w:i/>
          <w:iCs/>
          <w:sz w:val="24"/>
          <w:szCs w:val="24"/>
        </w:rPr>
        <w:t>In silico</w:t>
      </w:r>
      <w:r w:rsidRPr="00B44278">
        <w:rPr>
          <w:rFonts w:ascii="Times New Roman" w:eastAsia="Times New Roman" w:hAnsi="Times New Roman" w:cs="Times New Roman"/>
          <w:sz w:val="24"/>
          <w:szCs w:val="24"/>
        </w:rPr>
        <w:t xml:space="preserve"> and </w:t>
      </w:r>
      <w:r w:rsidR="000644BF" w:rsidRPr="00B44278">
        <w:rPr>
          <w:rFonts w:ascii="Times New Roman" w:eastAsia="Times New Roman" w:hAnsi="Times New Roman" w:cs="Times New Roman"/>
          <w:i/>
          <w:iCs/>
          <w:sz w:val="24"/>
          <w:szCs w:val="24"/>
        </w:rPr>
        <w:t>In vivo</w:t>
      </w:r>
      <w:r w:rsidRPr="00B44278">
        <w:rPr>
          <w:rFonts w:ascii="Times New Roman" w:eastAsia="Times New Roman" w:hAnsi="Times New Roman" w:cs="Times New Roman"/>
          <w:sz w:val="24"/>
          <w:szCs w:val="24"/>
        </w:rPr>
        <w:t xml:space="preserve"> insights for robust drug discovery.</w:t>
      </w:r>
    </w:p>
    <w:p w14:paraId="001FA448" w14:textId="28CD24B8" w:rsidR="001469C4" w:rsidRPr="00B44278" w:rsidRDefault="00802A6C">
      <w:pPr>
        <w:pBdr>
          <w:top w:val="nil"/>
          <w:left w:val="nil"/>
          <w:bottom w:val="nil"/>
          <w:right w:val="nil"/>
          <w:between w:val="nil"/>
        </w:pBdr>
        <w:spacing w:before="280" w:after="28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Recent studies demonstrate the efficacy of combining network pharmacology with Drosophila models (Yamamura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2021; Munnik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2022). For instance, a 2026 study mapped curcumin’s CRC targets using network analysis, then validated its suppression of </w:t>
      </w:r>
      <w:r w:rsidRPr="00B44278">
        <w:rPr>
          <w:rFonts w:ascii="Times New Roman" w:eastAsia="Times New Roman" w:hAnsi="Times New Roman" w:cs="Times New Roman"/>
          <w:i/>
          <w:iCs/>
          <w:sz w:val="24"/>
          <w:szCs w:val="24"/>
        </w:rPr>
        <w:t>Ras</w:t>
      </w:r>
      <w:r w:rsidRPr="00B44278">
        <w:rPr>
          <w:rFonts w:ascii="Times New Roman" w:eastAsia="Times New Roman" w:hAnsi="Times New Roman" w:cs="Times New Roman"/>
          <w:sz w:val="24"/>
          <w:szCs w:val="24"/>
        </w:rPr>
        <w:t xml:space="preserve">-driven midgut tumors, reducing proliferation significantly (Yuan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2026). Another study used network pharmacology to predict quercetin’s inhibition of NF-κB, confirming reduction in inflammation-driven gut lesions (Bai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xml:space="preserve">., 2025). These studies highlight the synergy of </w:t>
      </w:r>
      <w:r w:rsidR="000644BF" w:rsidRPr="00B44278">
        <w:rPr>
          <w:rFonts w:ascii="Times New Roman" w:eastAsia="Times New Roman" w:hAnsi="Times New Roman" w:cs="Times New Roman"/>
          <w:i/>
          <w:sz w:val="24"/>
          <w:szCs w:val="24"/>
        </w:rPr>
        <w:t>In silico</w:t>
      </w:r>
      <w:r w:rsidRPr="00B44278">
        <w:rPr>
          <w:rFonts w:ascii="Times New Roman" w:eastAsia="Times New Roman" w:hAnsi="Times New Roman" w:cs="Times New Roman"/>
          <w:sz w:val="24"/>
          <w:szCs w:val="24"/>
        </w:rPr>
        <w:t xml:space="preserve"> target identification and Drosophila</w:t>
      </w:r>
      <w:r w:rsidRPr="00B44278">
        <w:rPr>
          <w:rFonts w:ascii="Times New Roman" w:eastAsia="Times New Roman" w:hAnsi="Times New Roman" w:cs="Times New Roman"/>
          <w:i/>
          <w:iCs/>
          <w:sz w:val="24"/>
          <w:szCs w:val="24"/>
        </w:rPr>
        <w:t>’</w:t>
      </w:r>
      <w:r w:rsidRPr="00B44278">
        <w:rPr>
          <w:rFonts w:ascii="Times New Roman" w:eastAsia="Times New Roman" w:hAnsi="Times New Roman" w:cs="Times New Roman"/>
          <w:sz w:val="24"/>
          <w:szCs w:val="24"/>
        </w:rPr>
        <w:t>s</w:t>
      </w:r>
      <w:r w:rsidR="0066063A" w:rsidRPr="00B44278">
        <w:rPr>
          <w:rFonts w:ascii="Times New Roman" w:eastAsia="Times New Roman" w:hAnsi="Times New Roman" w:cs="Times New Roman"/>
          <w:sz w:val="24"/>
          <w:szCs w:val="24"/>
        </w:rPr>
        <w:t xml:space="preserve"> rapid screening, achieving 2-3-</w:t>
      </w:r>
      <w:r w:rsidRPr="00B44278">
        <w:rPr>
          <w:rFonts w:ascii="Times New Roman" w:eastAsia="Times New Roman" w:hAnsi="Times New Roman" w:cs="Times New Roman"/>
          <w:sz w:val="24"/>
          <w:szCs w:val="24"/>
        </w:rPr>
        <w:t xml:space="preserve">fold faster validation than mammalian models. </w:t>
      </w:r>
    </w:p>
    <w:p w14:paraId="58EE117B" w14:textId="1CC64C4E" w:rsidR="001469C4" w:rsidRPr="00B44278" w:rsidRDefault="00802A6C">
      <w:pPr>
        <w:pBdr>
          <w:top w:val="nil"/>
          <w:left w:val="nil"/>
          <w:bottom w:val="nil"/>
          <w:right w:val="nil"/>
          <w:between w:val="nil"/>
        </w:pBdr>
        <w:spacing w:before="280" w:after="280"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lastRenderedPageBreak/>
        <w:t xml:space="preserve">Despite these advances, knowledge gaps persist in applying integrated approaches to luteolin in CRC. Network pharmacology studies predict luteolin’s modulation of CRC targets (e.g., APC, KRAS, VEGF), but </w:t>
      </w:r>
      <w:r w:rsidR="000644BF" w:rsidRPr="00B44278">
        <w:rPr>
          <w:rFonts w:ascii="Times New Roman" w:eastAsia="Times New Roman" w:hAnsi="Times New Roman" w:cs="Times New Roman"/>
          <w:i/>
          <w:iCs/>
          <w:sz w:val="24"/>
          <w:szCs w:val="24"/>
        </w:rPr>
        <w:t>In vivo</w:t>
      </w:r>
      <w:r w:rsidRPr="00B44278">
        <w:rPr>
          <w:rFonts w:ascii="Times New Roman" w:eastAsia="Times New Roman" w:hAnsi="Times New Roman" w:cs="Times New Roman"/>
          <w:sz w:val="24"/>
          <w:szCs w:val="24"/>
        </w:rPr>
        <w:t xml:space="preserve"> validation, particularly in WT Drosophila, is limited. Existing Drosophila</w:t>
      </w:r>
      <w:r w:rsidRPr="00B44278">
        <w:rPr>
          <w:rFonts w:ascii="Times New Roman" w:eastAsia="Times New Roman" w:hAnsi="Times New Roman" w:cs="Times New Roman"/>
          <w:i/>
          <w:iCs/>
          <w:sz w:val="24"/>
          <w:szCs w:val="24"/>
        </w:rPr>
        <w:t xml:space="preserve"> </w:t>
      </w:r>
      <w:r w:rsidRPr="00B44278">
        <w:rPr>
          <w:rFonts w:ascii="Times New Roman" w:eastAsia="Times New Roman" w:hAnsi="Times New Roman" w:cs="Times New Roman"/>
          <w:sz w:val="24"/>
          <w:szCs w:val="24"/>
        </w:rPr>
        <w:t>studies focus on genetically modified flies, overlooking WT models’ simplicity for chemical induction and screening. This study addresses these gaps by using network pharmacology to map luteolin’s CRC interactome and WT Drosophila</w:t>
      </w:r>
      <w:r w:rsidRPr="00B44278">
        <w:rPr>
          <w:rFonts w:ascii="Times New Roman" w:eastAsia="Times New Roman" w:hAnsi="Times New Roman" w:cs="Times New Roman"/>
          <w:i/>
          <w:iCs/>
          <w:sz w:val="24"/>
          <w:szCs w:val="24"/>
        </w:rPr>
        <w:t xml:space="preserve"> </w:t>
      </w:r>
      <w:r w:rsidRPr="00B44278">
        <w:rPr>
          <w:rFonts w:ascii="Times New Roman" w:eastAsia="Times New Roman" w:hAnsi="Times New Roman" w:cs="Times New Roman"/>
          <w:sz w:val="24"/>
          <w:szCs w:val="24"/>
        </w:rPr>
        <w:t>to validate its efficacy against AOM-induced tumors, aiming to provide preclinical evidence for luteolin as a safe, affordable CRC therapy, particularly for low-resource settings.</w:t>
      </w:r>
    </w:p>
    <w:p w14:paraId="402185C9" w14:textId="77777777" w:rsidR="001469C4" w:rsidRPr="00B44278" w:rsidRDefault="00802A6C">
      <w:pPr>
        <w:rPr>
          <w:rFonts w:ascii="Times New Roman" w:eastAsia="Times New Roman" w:hAnsi="Times New Roman" w:cs="Times New Roman"/>
          <w:sz w:val="24"/>
          <w:szCs w:val="24"/>
        </w:rPr>
      </w:pPr>
      <w:r w:rsidRPr="00B44278">
        <w:rPr>
          <w:rFonts w:ascii="Times New Roman" w:hAnsi="Times New Roman" w:cs="Times New Roman"/>
          <w:sz w:val="24"/>
          <w:szCs w:val="24"/>
        </w:rPr>
        <w:br w:type="page"/>
      </w:r>
    </w:p>
    <w:p w14:paraId="611639AC" w14:textId="77777777" w:rsidR="001469C4" w:rsidRPr="00B44278" w:rsidRDefault="00802A6C" w:rsidP="001A6780">
      <w:pPr>
        <w:pStyle w:val="Heading7"/>
        <w:rPr>
          <w:rFonts w:eastAsia="Times New Roman" w:cs="Times New Roman"/>
          <w:szCs w:val="24"/>
        </w:rPr>
      </w:pPr>
      <w:r w:rsidRPr="00B44278">
        <w:rPr>
          <w:rFonts w:eastAsia="Times New Roman" w:cs="Times New Roman"/>
          <w:szCs w:val="24"/>
        </w:rPr>
        <w:lastRenderedPageBreak/>
        <w:t>CHAPTER THREE</w:t>
      </w:r>
    </w:p>
    <w:p w14:paraId="2CAF6A88" w14:textId="08336A5B" w:rsidR="001469C4" w:rsidRPr="00B44278" w:rsidRDefault="00486640" w:rsidP="00486640">
      <w:pPr>
        <w:pStyle w:val="Heading7"/>
        <w:jc w:val="left"/>
        <w:rPr>
          <w:rFonts w:eastAsia="Times New Roman" w:cs="Times New Roman"/>
          <w:szCs w:val="24"/>
        </w:rPr>
      </w:pPr>
      <w:r w:rsidRPr="00B44278">
        <w:rPr>
          <w:rFonts w:eastAsia="Times New Roman" w:cs="Times New Roman"/>
          <w:szCs w:val="24"/>
        </w:rPr>
        <w:t xml:space="preserve">3.0                </w:t>
      </w:r>
      <w:r w:rsidRPr="00B44278">
        <w:rPr>
          <w:rFonts w:eastAsia="Times New Roman" w:cs="Times New Roman"/>
          <w:szCs w:val="24"/>
        </w:rPr>
        <w:tab/>
      </w:r>
      <w:r w:rsidRPr="00B44278">
        <w:rPr>
          <w:rFonts w:eastAsia="Times New Roman" w:cs="Times New Roman"/>
          <w:szCs w:val="24"/>
        </w:rPr>
        <w:tab/>
      </w:r>
      <w:r w:rsidRPr="00B44278">
        <w:rPr>
          <w:rFonts w:eastAsia="Times New Roman" w:cs="Times New Roman"/>
          <w:szCs w:val="24"/>
        </w:rPr>
        <w:tab/>
      </w:r>
      <w:r w:rsidR="00802A6C" w:rsidRPr="00B44278">
        <w:rPr>
          <w:rFonts w:eastAsia="Times New Roman" w:cs="Times New Roman"/>
          <w:szCs w:val="24"/>
        </w:rPr>
        <w:t>MATERIALS AND METHODS</w:t>
      </w:r>
    </w:p>
    <w:p w14:paraId="4431362D" w14:textId="77777777" w:rsidR="007E221C" w:rsidRPr="00B44278" w:rsidRDefault="007E221C" w:rsidP="00214B67">
      <w:pPr>
        <w:pStyle w:val="Heading8"/>
        <w:rPr>
          <w:rFonts w:eastAsia="Times New Roman" w:cs="Times New Roman"/>
          <w:b w:val="0"/>
          <w:color w:val="auto"/>
          <w:szCs w:val="24"/>
          <w:lang w:val="en-US"/>
        </w:rPr>
      </w:pPr>
      <w:bookmarkStart w:id="1" w:name="_heading=h.r3gpwgia5ijz" w:colFirst="0" w:colLast="0"/>
      <w:bookmarkEnd w:id="1"/>
      <w:r w:rsidRPr="00B44278">
        <w:rPr>
          <w:rFonts w:eastAsia="Times New Roman" w:cs="Times New Roman"/>
          <w:b w:val="0"/>
          <w:color w:val="auto"/>
          <w:szCs w:val="24"/>
          <w:lang w:val="en-US"/>
        </w:rPr>
        <w:t>To gain insight into the effect of luteolin on the prevention of colorectal cancer (CRC), target prediction and pathway enrichment were conducted. Further, molecular docking and molecular dynamics simulations were used to confirm the suggested mechanisms of action. The whole flow of this study is shown in Figure 3.1.</w:t>
      </w:r>
    </w:p>
    <w:p w14:paraId="345D6CE2" w14:textId="2EF82B53" w:rsidR="00214B67" w:rsidRPr="00B44278" w:rsidRDefault="00802A6C" w:rsidP="00214B67">
      <w:pPr>
        <w:pStyle w:val="Heading8"/>
        <w:rPr>
          <w:rFonts w:cs="Times New Roman"/>
          <w:szCs w:val="24"/>
        </w:rPr>
      </w:pPr>
      <w:r w:rsidRPr="00B44278">
        <w:rPr>
          <w:rFonts w:eastAsia="Times New Roman" w:cs="Times New Roman"/>
          <w:szCs w:val="24"/>
        </w:rPr>
        <w:t>3.1</w:t>
      </w:r>
      <w:r w:rsidR="00214B67" w:rsidRPr="00B44278">
        <w:rPr>
          <w:rFonts w:eastAsia="Times New Roman" w:cs="Times New Roman"/>
          <w:szCs w:val="24"/>
        </w:rPr>
        <w:t xml:space="preserve"> </w:t>
      </w:r>
      <w:r w:rsidR="00214B67" w:rsidRPr="00B44278">
        <w:rPr>
          <w:rFonts w:cs="Times New Roman"/>
          <w:szCs w:val="24"/>
        </w:rPr>
        <w:tab/>
      </w:r>
      <w:r w:rsidR="00641380" w:rsidRPr="00B44278">
        <w:rPr>
          <w:rFonts w:cs="Times New Roman"/>
          <w:szCs w:val="24"/>
        </w:rPr>
        <w:t>Materials</w:t>
      </w:r>
      <w:r w:rsidR="00214B67" w:rsidRPr="00B44278">
        <w:rPr>
          <w:rFonts w:cs="Times New Roman"/>
          <w:szCs w:val="24"/>
        </w:rPr>
        <w:t xml:space="preserve"> </w:t>
      </w:r>
    </w:p>
    <w:p w14:paraId="7F26EDCB" w14:textId="386BA60C" w:rsidR="00214B67" w:rsidRPr="00B44278" w:rsidRDefault="00102FFB" w:rsidP="00A46282">
      <w:pPr>
        <w:pStyle w:val="Heading8"/>
        <w:jc w:val="both"/>
        <w:rPr>
          <w:rFonts w:eastAsia="Times New Roman" w:cs="Times New Roman"/>
          <w:b w:val="0"/>
          <w:szCs w:val="24"/>
        </w:rPr>
      </w:pPr>
      <w:r w:rsidRPr="00B44278">
        <w:rPr>
          <w:rFonts w:eastAsia="Times New Roman" w:cs="Times New Roman"/>
          <w:b w:val="0"/>
          <w:szCs w:val="24"/>
        </w:rPr>
        <w:t>Spectrophotometer</w:t>
      </w:r>
      <w:r w:rsidR="00A46282" w:rsidRPr="00B44278">
        <w:rPr>
          <w:rFonts w:eastAsia="Times New Roman" w:cs="Times New Roman"/>
          <w:b w:val="0"/>
          <w:szCs w:val="24"/>
        </w:rPr>
        <w:t xml:space="preserve"> (Jenway 6100</w:t>
      </w:r>
      <w:r w:rsidR="00C57008" w:rsidRPr="00B44278">
        <w:rPr>
          <w:rFonts w:eastAsia="Times New Roman" w:cs="Times New Roman"/>
          <w:b w:val="0"/>
          <w:szCs w:val="24"/>
        </w:rPr>
        <w:t>)</w:t>
      </w:r>
      <w:r w:rsidRPr="00B44278">
        <w:rPr>
          <w:rFonts w:eastAsia="Times New Roman" w:cs="Times New Roman"/>
          <w:b w:val="0"/>
          <w:szCs w:val="24"/>
        </w:rPr>
        <w:t>, electric weighing balance</w:t>
      </w:r>
      <w:r w:rsidR="00A46282" w:rsidRPr="00B44278">
        <w:rPr>
          <w:rFonts w:eastAsia="Times New Roman" w:cs="Times New Roman"/>
          <w:b w:val="0"/>
          <w:szCs w:val="24"/>
        </w:rPr>
        <w:t xml:space="preserve"> (</w:t>
      </w:r>
      <w:r w:rsidR="00A46282" w:rsidRPr="00B44278">
        <w:rPr>
          <w:rFonts w:eastAsia="Times New Roman" w:cs="Times New Roman"/>
          <w:b w:val="0"/>
          <w:bCs/>
          <w:szCs w:val="24"/>
        </w:rPr>
        <w:t>TORBAL AGZN120)</w:t>
      </w:r>
      <w:r w:rsidRPr="00B44278">
        <w:rPr>
          <w:rFonts w:eastAsia="Times New Roman" w:cs="Times New Roman"/>
          <w:b w:val="0"/>
          <w:szCs w:val="24"/>
        </w:rPr>
        <w:t>, centrifuge</w:t>
      </w:r>
      <w:r w:rsidR="00A46282" w:rsidRPr="00B44278">
        <w:rPr>
          <w:rFonts w:eastAsia="Times New Roman" w:cs="Times New Roman"/>
          <w:b w:val="0"/>
          <w:szCs w:val="24"/>
        </w:rPr>
        <w:t xml:space="preserve"> (Jenway 3117)</w:t>
      </w:r>
      <w:r w:rsidRPr="00B44278">
        <w:rPr>
          <w:rFonts w:eastAsia="Times New Roman" w:cs="Times New Roman"/>
          <w:b w:val="0"/>
          <w:szCs w:val="24"/>
        </w:rPr>
        <w:t>, polymerase chain reaction (PCR) machine</w:t>
      </w:r>
      <w:r w:rsidR="00A46282" w:rsidRPr="00B44278">
        <w:rPr>
          <w:rFonts w:eastAsia="Times New Roman" w:cs="Times New Roman"/>
          <w:b w:val="0"/>
          <w:szCs w:val="24"/>
        </w:rPr>
        <w:t xml:space="preserve"> (MERRAD PTC-15)</w:t>
      </w:r>
      <w:r w:rsidRPr="00B44278">
        <w:rPr>
          <w:rFonts w:eastAsia="Times New Roman" w:cs="Times New Roman"/>
          <w:b w:val="0"/>
          <w:szCs w:val="24"/>
        </w:rPr>
        <w:t>, electrophoretic machine</w:t>
      </w:r>
      <w:r w:rsidR="00842B35" w:rsidRPr="00B44278">
        <w:rPr>
          <w:rFonts w:eastAsia="Times New Roman" w:cs="Times New Roman"/>
          <w:b w:val="0"/>
          <w:szCs w:val="24"/>
        </w:rPr>
        <w:t xml:space="preserve"> (MERRAD PRC-24)</w:t>
      </w:r>
      <w:r w:rsidRPr="00B44278">
        <w:rPr>
          <w:rFonts w:eastAsia="Times New Roman" w:cs="Times New Roman"/>
          <w:b w:val="0"/>
          <w:szCs w:val="24"/>
        </w:rPr>
        <w:t>, photophoretic machine</w:t>
      </w:r>
      <w:r w:rsidR="00842B35" w:rsidRPr="00B44278">
        <w:rPr>
          <w:rFonts w:eastAsia="Times New Roman" w:cs="Times New Roman"/>
          <w:b w:val="0"/>
          <w:szCs w:val="24"/>
        </w:rPr>
        <w:t xml:space="preserve"> (Fotodyne 1-1430)</w:t>
      </w:r>
      <w:r w:rsidRPr="00B44278">
        <w:rPr>
          <w:rFonts w:eastAsia="Times New Roman" w:cs="Times New Roman"/>
          <w:b w:val="0"/>
          <w:szCs w:val="24"/>
        </w:rPr>
        <w:t xml:space="preserve">. </w:t>
      </w:r>
      <w:r w:rsidR="00214B67" w:rsidRPr="00B44278">
        <w:rPr>
          <w:rFonts w:eastAsia="Times New Roman" w:cs="Times New Roman"/>
          <w:b w:val="0"/>
          <w:szCs w:val="24"/>
        </w:rPr>
        <w:t>Azoxymethane, luteolin, and nipagin were all supplied by Meck Pharmaceuticals and Chemicals. Corn-meal, ethanol, formamide, RNase-free water, tris-boric acid EDTA (TBE) buffer, primers, glycerol, isoamyl alcohol, TRIzol, chloroform, reverse transcriptase mix, PCR master mix, sucrose an</w:t>
      </w:r>
      <w:r w:rsidR="00FA78C4" w:rsidRPr="00B44278">
        <w:rPr>
          <w:rFonts w:eastAsia="Times New Roman" w:cs="Times New Roman"/>
          <w:b w:val="0"/>
          <w:szCs w:val="24"/>
        </w:rPr>
        <w:t>d all other reagents used for this research work were of top and analytical grade</w:t>
      </w:r>
      <w:r w:rsidR="00214B67" w:rsidRPr="00B44278">
        <w:rPr>
          <w:rFonts w:eastAsia="Times New Roman" w:cs="Times New Roman"/>
          <w:b w:val="0"/>
          <w:szCs w:val="24"/>
        </w:rPr>
        <w:t xml:space="preserve">. </w:t>
      </w:r>
    </w:p>
    <w:p w14:paraId="53E42B8E" w14:textId="77777777" w:rsidR="00214B67" w:rsidRPr="00B44278" w:rsidRDefault="00214B67" w:rsidP="001A6780">
      <w:pPr>
        <w:pStyle w:val="Heading8"/>
        <w:rPr>
          <w:rFonts w:eastAsia="Times New Roman" w:cs="Times New Roman"/>
          <w:szCs w:val="24"/>
        </w:rPr>
      </w:pPr>
      <w:r w:rsidRPr="00B44278">
        <w:rPr>
          <w:rFonts w:eastAsia="Times New Roman" w:cs="Times New Roman"/>
          <w:szCs w:val="24"/>
        </w:rPr>
        <w:t>3.2</w:t>
      </w:r>
      <w:r w:rsidRPr="00B44278">
        <w:rPr>
          <w:rFonts w:eastAsia="Times New Roman" w:cs="Times New Roman"/>
          <w:szCs w:val="24"/>
        </w:rPr>
        <w:tab/>
        <w:t>Methods</w:t>
      </w:r>
    </w:p>
    <w:p w14:paraId="0D40E11A" w14:textId="2EE1275B" w:rsidR="001469C4" w:rsidRPr="00B44278" w:rsidRDefault="00F76E75" w:rsidP="001A6780">
      <w:pPr>
        <w:pStyle w:val="Heading8"/>
        <w:rPr>
          <w:rFonts w:eastAsia="Times New Roman" w:cs="Times New Roman"/>
          <w:szCs w:val="24"/>
        </w:rPr>
      </w:pPr>
      <w:r w:rsidRPr="00B44278">
        <w:rPr>
          <w:rFonts w:eastAsia="Times New Roman" w:cs="Times New Roman"/>
          <w:szCs w:val="24"/>
        </w:rPr>
        <w:t>3.2.1</w:t>
      </w:r>
      <w:r w:rsidR="00214B67" w:rsidRPr="00B44278">
        <w:rPr>
          <w:rFonts w:eastAsia="Times New Roman" w:cs="Times New Roman"/>
          <w:szCs w:val="24"/>
        </w:rPr>
        <w:tab/>
      </w:r>
      <w:r w:rsidR="00802A6C" w:rsidRPr="00B44278">
        <w:rPr>
          <w:rFonts w:eastAsia="Times New Roman" w:cs="Times New Roman"/>
          <w:szCs w:val="24"/>
        </w:rPr>
        <w:t>Luteolin Retrieval and Target Prediction</w:t>
      </w:r>
    </w:p>
    <w:p w14:paraId="4DBDA484" w14:textId="4EEE68FE" w:rsidR="00E35DB7" w:rsidRPr="00B44278" w:rsidRDefault="00E35DB7" w:rsidP="00E35DB7">
      <w:pPr>
        <w:spacing w:line="480" w:lineRule="auto"/>
        <w:jc w:val="both"/>
        <w:rPr>
          <w:rFonts w:ascii="Times New Roman" w:hAnsi="Times New Roman" w:cs="Times New Roman"/>
          <w:sz w:val="24"/>
          <w:szCs w:val="24"/>
        </w:rPr>
      </w:pPr>
      <w:r w:rsidRPr="00B44278">
        <w:rPr>
          <w:rFonts w:ascii="Times New Roman" w:hAnsi="Times New Roman" w:cs="Times New Roman"/>
          <w:sz w:val="24"/>
          <w:szCs w:val="24"/>
        </w:rPr>
        <w:t xml:space="preserve">Luteolin structure was retrieved from the PubChem database as its SMILES structure in accordance with the procedure outlined by Olanrewaju </w:t>
      </w:r>
      <w:r w:rsidR="00424714" w:rsidRPr="00B44278">
        <w:rPr>
          <w:rFonts w:ascii="Times New Roman" w:hAnsi="Times New Roman" w:cs="Times New Roman"/>
          <w:i/>
          <w:sz w:val="24"/>
          <w:szCs w:val="24"/>
        </w:rPr>
        <w:t>et al</w:t>
      </w:r>
      <w:r w:rsidRPr="00B44278">
        <w:rPr>
          <w:rFonts w:ascii="Times New Roman" w:hAnsi="Times New Roman" w:cs="Times New Roman"/>
          <w:sz w:val="24"/>
          <w:szCs w:val="24"/>
        </w:rPr>
        <w:t xml:space="preserve">. (2024). The SwissTargetPrediction and BindingDB were used to search for potential molecular targets. For SwissTargetPrediction, Drosophila melanogaster was chosen as the target species and only genes with prediction probabilities ≥ 0.70 were kept. Likewise, BindingDB was searched for the 2D SDF structure of luteolin and the targets with similarity score ≥ 0.70 were selected. The UniProtKB database was then used to map to official gene and protein information using corresponding UniProt identifiers. All recovered targets were picked, </w:t>
      </w:r>
      <w:r w:rsidRPr="00B44278">
        <w:rPr>
          <w:rFonts w:ascii="Times New Roman" w:hAnsi="Times New Roman" w:cs="Times New Roman"/>
          <w:sz w:val="24"/>
          <w:szCs w:val="24"/>
        </w:rPr>
        <w:lastRenderedPageBreak/>
        <w:t>combined and sorted to eliminate duplicates. The non-redundant set of targets was used in the following analysis.</w:t>
      </w:r>
    </w:p>
    <w:p w14:paraId="4E7229F3" w14:textId="0EAFAC79" w:rsidR="000A3740" w:rsidRPr="00B44278" w:rsidRDefault="000A3740" w:rsidP="000A3740">
      <w:pPr>
        <w:pStyle w:val="Heading8"/>
        <w:rPr>
          <w:rFonts w:eastAsia="Times New Roman" w:cs="Times New Roman"/>
          <w:szCs w:val="24"/>
        </w:rPr>
      </w:pPr>
      <w:r w:rsidRPr="00B44278">
        <w:rPr>
          <w:rFonts w:eastAsia="Times New Roman" w:cs="Times New Roman"/>
          <w:szCs w:val="24"/>
        </w:rPr>
        <w:t>3.</w:t>
      </w:r>
      <w:r w:rsidR="00F76E75" w:rsidRPr="00B44278">
        <w:rPr>
          <w:rFonts w:eastAsia="Times New Roman" w:cs="Times New Roman"/>
          <w:szCs w:val="24"/>
        </w:rPr>
        <w:t>2.</w:t>
      </w:r>
      <w:r w:rsidRPr="00B44278">
        <w:rPr>
          <w:rFonts w:eastAsia="Times New Roman" w:cs="Times New Roman"/>
          <w:szCs w:val="24"/>
        </w:rPr>
        <w:t>2</w:t>
      </w:r>
      <w:r w:rsidRPr="00B44278">
        <w:rPr>
          <w:rFonts w:eastAsia="Times New Roman" w:cs="Times New Roman"/>
          <w:szCs w:val="24"/>
        </w:rPr>
        <w:tab/>
        <w:t>Identification of Colorectal Cancer–Related Targets</w:t>
      </w:r>
    </w:p>
    <w:p w14:paraId="2D60124D" w14:textId="34FE5CC8" w:rsidR="00E35DB7" w:rsidRPr="00B44278" w:rsidRDefault="00E35DB7" w:rsidP="00E35DB7">
      <w:pPr>
        <w:pStyle w:val="Heading8"/>
        <w:jc w:val="both"/>
        <w:rPr>
          <w:rFonts w:cs="Times New Roman"/>
          <w:b w:val="0"/>
          <w:color w:val="auto"/>
          <w:szCs w:val="24"/>
        </w:rPr>
      </w:pPr>
      <w:r w:rsidRPr="00B44278">
        <w:rPr>
          <w:rFonts w:cs="Times New Roman"/>
          <w:b w:val="0"/>
          <w:color w:val="auto"/>
          <w:szCs w:val="24"/>
        </w:rPr>
        <w:t xml:space="preserve">The gene targets involved in CRC were identified from OMIM, GeneCards and DisGeNET databases with the search term of “colorectal cancer” (Piñero </w:t>
      </w:r>
      <w:r w:rsidR="00424714" w:rsidRPr="00B44278">
        <w:rPr>
          <w:rFonts w:cs="Times New Roman"/>
          <w:b w:val="0"/>
          <w:i/>
          <w:color w:val="auto"/>
          <w:szCs w:val="24"/>
        </w:rPr>
        <w:t>et al</w:t>
      </w:r>
      <w:r w:rsidRPr="00B44278">
        <w:rPr>
          <w:rFonts w:cs="Times New Roman"/>
          <w:b w:val="0"/>
          <w:color w:val="auto"/>
          <w:szCs w:val="24"/>
        </w:rPr>
        <w:t xml:space="preserve">., 2016; Jain </w:t>
      </w:r>
      <w:r w:rsidR="00424714" w:rsidRPr="00B44278">
        <w:rPr>
          <w:rFonts w:cs="Times New Roman"/>
          <w:b w:val="0"/>
          <w:i/>
          <w:color w:val="auto"/>
          <w:szCs w:val="24"/>
        </w:rPr>
        <w:t>et al</w:t>
      </w:r>
      <w:r w:rsidRPr="00B44278">
        <w:rPr>
          <w:rFonts w:cs="Times New Roman"/>
          <w:b w:val="0"/>
          <w:color w:val="auto"/>
          <w:szCs w:val="24"/>
        </w:rPr>
        <w:t xml:space="preserve">., 2024). The gene lists were merged and duplicated genes were eliminated, resulting in a unique list of targets associated with CRC. Later, potentially shared targets between luteolin and CRC were identified by the Venny 2.1.0 platform (Olanrewaju </w:t>
      </w:r>
      <w:r w:rsidR="00424714" w:rsidRPr="00B44278">
        <w:rPr>
          <w:rFonts w:cs="Times New Roman"/>
          <w:b w:val="0"/>
          <w:i/>
          <w:color w:val="auto"/>
          <w:szCs w:val="24"/>
        </w:rPr>
        <w:t>et al</w:t>
      </w:r>
      <w:r w:rsidRPr="00B44278">
        <w:rPr>
          <w:rFonts w:cs="Times New Roman"/>
          <w:b w:val="0"/>
          <w:color w:val="auto"/>
          <w:szCs w:val="24"/>
        </w:rPr>
        <w:t xml:space="preserve">., 2023; Jain </w:t>
      </w:r>
      <w:r w:rsidR="00424714" w:rsidRPr="00B44278">
        <w:rPr>
          <w:rFonts w:cs="Times New Roman"/>
          <w:b w:val="0"/>
          <w:i/>
          <w:color w:val="auto"/>
          <w:szCs w:val="24"/>
        </w:rPr>
        <w:t>et al</w:t>
      </w:r>
      <w:r w:rsidRPr="00B44278">
        <w:rPr>
          <w:rFonts w:cs="Times New Roman"/>
          <w:b w:val="0"/>
          <w:color w:val="auto"/>
          <w:szCs w:val="24"/>
        </w:rPr>
        <w:t>., 2024). The intersection genes were then chosen for the construction of the network and molecular docking validation.</w:t>
      </w:r>
    </w:p>
    <w:p w14:paraId="6C221880" w14:textId="59AAE8CA" w:rsidR="000A3740" w:rsidRPr="00B44278" w:rsidRDefault="000A3740" w:rsidP="000A3740">
      <w:pPr>
        <w:pStyle w:val="Heading8"/>
        <w:rPr>
          <w:rFonts w:eastAsia="Times New Roman" w:cs="Times New Roman"/>
          <w:szCs w:val="24"/>
        </w:rPr>
      </w:pPr>
      <w:r w:rsidRPr="00B44278">
        <w:rPr>
          <w:rFonts w:eastAsia="Times New Roman" w:cs="Times New Roman"/>
          <w:szCs w:val="24"/>
        </w:rPr>
        <w:t>3.3</w:t>
      </w:r>
      <w:r w:rsidRPr="00B44278">
        <w:rPr>
          <w:rFonts w:eastAsia="Times New Roman" w:cs="Times New Roman"/>
          <w:szCs w:val="24"/>
        </w:rPr>
        <w:tab/>
        <w:t>Protein–Protein Interaction (PPI) Network and Hub Gene Analysis</w:t>
      </w:r>
    </w:p>
    <w:p w14:paraId="798F781B" w14:textId="29F12071" w:rsidR="001A6780" w:rsidRPr="00B44278" w:rsidRDefault="006963DE" w:rsidP="006963DE">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lang w:val="en-US"/>
        </w:rPr>
        <w:t xml:space="preserve">The targets that overlap for CRC and luteolin were subjected to computational query on STRING version 11.5 online database at (https://string db.org/) to capture intersection that exist between the targets (Szklarczyk </w:t>
      </w:r>
      <w:r w:rsidR="00424714" w:rsidRPr="00B44278">
        <w:rPr>
          <w:rFonts w:ascii="Times New Roman" w:eastAsia="Times New Roman" w:hAnsi="Times New Roman" w:cs="Times New Roman"/>
          <w:i/>
          <w:sz w:val="24"/>
          <w:szCs w:val="24"/>
          <w:lang w:val="en-US"/>
        </w:rPr>
        <w:t>et al</w:t>
      </w:r>
      <w:r w:rsidRPr="00B44278">
        <w:rPr>
          <w:rFonts w:ascii="Times New Roman" w:eastAsia="Times New Roman" w:hAnsi="Times New Roman" w:cs="Times New Roman"/>
          <w:sz w:val="24"/>
          <w:szCs w:val="24"/>
          <w:lang w:val="en-US"/>
        </w:rPr>
        <w:t xml:space="preserve">., 2019). Multiple proteins section in STRING was used to search for the official gene symbols for common targets with organism name set as </w:t>
      </w:r>
      <w:r w:rsidRPr="00B44278">
        <w:rPr>
          <w:rFonts w:ascii="Times New Roman" w:eastAsia="Times New Roman" w:hAnsi="Times New Roman" w:cs="Times New Roman"/>
          <w:i/>
          <w:sz w:val="24"/>
          <w:szCs w:val="24"/>
          <w:lang w:val="en-US"/>
        </w:rPr>
        <w:t>D. melanogaster</w:t>
      </w:r>
      <w:r w:rsidRPr="00B44278">
        <w:rPr>
          <w:rFonts w:ascii="Times New Roman" w:eastAsia="Times New Roman" w:hAnsi="Times New Roman" w:cs="Times New Roman"/>
          <w:sz w:val="24"/>
          <w:szCs w:val="24"/>
          <w:lang w:val="en-US"/>
        </w:rPr>
        <w:t xml:space="preserve">. 0.70 was set as the minimum confidence score – this was done to increase the reliability of the interactions (Szklarczyk </w:t>
      </w:r>
      <w:r w:rsidR="00424714" w:rsidRPr="00B44278">
        <w:rPr>
          <w:rFonts w:ascii="Times New Roman" w:eastAsia="Times New Roman" w:hAnsi="Times New Roman" w:cs="Times New Roman"/>
          <w:i/>
          <w:sz w:val="24"/>
          <w:szCs w:val="24"/>
          <w:lang w:val="en-US"/>
        </w:rPr>
        <w:t>et al</w:t>
      </w:r>
      <w:r w:rsidRPr="00B44278">
        <w:rPr>
          <w:rFonts w:ascii="Times New Roman" w:eastAsia="Times New Roman" w:hAnsi="Times New Roman" w:cs="Times New Roman"/>
          <w:sz w:val="24"/>
          <w:szCs w:val="24"/>
          <w:lang w:val="en-US"/>
        </w:rPr>
        <w:t xml:space="preserve">., 2019; Olanrewaju </w:t>
      </w:r>
      <w:r w:rsidR="00424714" w:rsidRPr="00B44278">
        <w:rPr>
          <w:rFonts w:ascii="Times New Roman" w:eastAsia="Times New Roman" w:hAnsi="Times New Roman" w:cs="Times New Roman"/>
          <w:i/>
          <w:sz w:val="24"/>
          <w:szCs w:val="24"/>
          <w:lang w:val="en-US"/>
        </w:rPr>
        <w:t>et al</w:t>
      </w:r>
      <w:r w:rsidRPr="00B44278">
        <w:rPr>
          <w:rFonts w:ascii="Times New Roman" w:eastAsia="Times New Roman" w:hAnsi="Times New Roman" w:cs="Times New Roman"/>
          <w:sz w:val="24"/>
          <w:szCs w:val="24"/>
          <w:lang w:val="en-US"/>
        </w:rPr>
        <w:t xml:space="preserve">., 2024).  </w:t>
      </w:r>
      <w:r w:rsidR="006516F7" w:rsidRPr="00B44278">
        <w:rPr>
          <w:rFonts w:ascii="Times New Roman" w:eastAsia="Times New Roman" w:hAnsi="Times New Roman" w:cs="Times New Roman"/>
          <w:sz w:val="24"/>
          <w:szCs w:val="24"/>
        </w:rPr>
        <w:br w:type="page"/>
      </w:r>
    </w:p>
    <w:p w14:paraId="71D56424" w14:textId="3CF7E397" w:rsidR="001A6780" w:rsidRPr="00B44278" w:rsidRDefault="001A6780">
      <w:pPr>
        <w:rPr>
          <w:rFonts w:ascii="Times New Roman" w:eastAsia="Times New Roman" w:hAnsi="Times New Roman" w:cs="Times New Roman"/>
          <w:sz w:val="24"/>
          <w:szCs w:val="24"/>
        </w:rPr>
      </w:pPr>
    </w:p>
    <w:p w14:paraId="5CDBE47A" w14:textId="77777777" w:rsidR="001469C4" w:rsidRPr="00B44278" w:rsidRDefault="001469C4">
      <w:pPr>
        <w:spacing w:line="480" w:lineRule="auto"/>
        <w:jc w:val="both"/>
        <w:rPr>
          <w:rFonts w:ascii="Times New Roman" w:eastAsia="Times New Roman" w:hAnsi="Times New Roman" w:cs="Times New Roman"/>
          <w:sz w:val="24"/>
          <w:szCs w:val="24"/>
        </w:rPr>
      </w:pPr>
    </w:p>
    <w:p w14:paraId="18CCDD5F" w14:textId="77777777" w:rsidR="001469C4" w:rsidRPr="00B44278" w:rsidRDefault="00802A6C">
      <w:pPr>
        <w:pStyle w:val="Heading3"/>
        <w:keepNext w:val="0"/>
        <w:keepLines w:val="0"/>
        <w:spacing w:before="280" w:after="80" w:line="480" w:lineRule="auto"/>
        <w:jc w:val="both"/>
        <w:rPr>
          <w:rFonts w:ascii="Times New Roman" w:eastAsia="Times New Roman" w:hAnsi="Times New Roman" w:cs="Times New Roman"/>
          <w:b/>
          <w:bCs/>
          <w:color w:val="000000"/>
        </w:rPr>
      </w:pPr>
      <w:bookmarkStart w:id="2" w:name="_heading=h.9y50rvaz0pd9" w:colFirst="0" w:colLast="0"/>
      <w:bookmarkEnd w:id="2"/>
      <w:r w:rsidRPr="00B44278">
        <w:rPr>
          <w:rFonts w:ascii="Times New Roman" w:eastAsia="Times New Roman" w:hAnsi="Times New Roman" w:cs="Times New Roman"/>
          <w:b/>
          <w:bCs/>
          <w:noProof/>
          <w:color w:val="000000"/>
          <w:lang w:val="en-US"/>
        </w:rPr>
        <w:drawing>
          <wp:inline distT="114300" distB="114300" distL="114300" distR="114300" wp14:anchorId="6E117E74" wp14:editId="302D2679">
            <wp:extent cx="5943600" cy="5767388"/>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5943600" cy="5767388"/>
                    </a:xfrm>
                    <a:prstGeom prst="rect">
                      <a:avLst/>
                    </a:prstGeom>
                    <a:ln/>
                  </pic:spPr>
                </pic:pic>
              </a:graphicData>
            </a:graphic>
          </wp:inline>
        </w:drawing>
      </w:r>
    </w:p>
    <w:p w14:paraId="06553911" w14:textId="01130D6F" w:rsidR="00214B67" w:rsidRPr="00B44278" w:rsidRDefault="00802A6C" w:rsidP="00940A17">
      <w:pPr>
        <w:rPr>
          <w:rFonts w:ascii="Times New Roman" w:hAnsi="Times New Roman" w:cs="Times New Roman"/>
          <w:sz w:val="24"/>
          <w:szCs w:val="24"/>
        </w:rPr>
      </w:pPr>
      <w:bookmarkStart w:id="3" w:name="_heading=h.uu27i6h85sas" w:colFirst="0" w:colLast="0"/>
      <w:bookmarkEnd w:id="3"/>
      <w:r w:rsidRPr="00B44278">
        <w:rPr>
          <w:rFonts w:ascii="Times New Roman" w:hAnsi="Times New Roman" w:cs="Times New Roman"/>
          <w:sz w:val="24"/>
          <w:szCs w:val="24"/>
        </w:rPr>
        <w:t>Figure 3.1: Illustration of the methodological approach in current study</w:t>
      </w:r>
      <w:r w:rsidR="00214B67" w:rsidRPr="00B44278">
        <w:rPr>
          <w:rFonts w:ascii="Times New Roman" w:hAnsi="Times New Roman" w:cs="Times New Roman"/>
          <w:sz w:val="24"/>
          <w:szCs w:val="24"/>
        </w:rPr>
        <w:t>.</w:t>
      </w:r>
    </w:p>
    <w:p w14:paraId="0BE8E7D8" w14:textId="698CD0D4" w:rsidR="001469C4" w:rsidRPr="00B44278" w:rsidRDefault="00214B67" w:rsidP="00940A17">
      <w:pPr>
        <w:rPr>
          <w:rFonts w:ascii="Times New Roman" w:hAnsi="Times New Roman" w:cs="Times New Roman"/>
          <w:sz w:val="24"/>
          <w:szCs w:val="24"/>
        </w:rPr>
      </w:pPr>
      <w:r w:rsidRPr="00B44278">
        <w:rPr>
          <w:rFonts w:ascii="Times New Roman" w:hAnsi="Times New Roman" w:cs="Times New Roman"/>
          <w:sz w:val="24"/>
          <w:szCs w:val="24"/>
        </w:rPr>
        <w:br w:type="page"/>
      </w:r>
    </w:p>
    <w:p w14:paraId="073EA917" w14:textId="7D3BAA0D" w:rsidR="00E35DB7" w:rsidRPr="00B44278" w:rsidRDefault="00E35DB7" w:rsidP="00E35DB7">
      <w:pPr>
        <w:pStyle w:val="Heading8"/>
        <w:jc w:val="both"/>
        <w:rPr>
          <w:rFonts w:eastAsia="Times New Roman" w:cs="Times New Roman"/>
          <w:b w:val="0"/>
          <w:color w:val="auto"/>
          <w:szCs w:val="24"/>
        </w:rPr>
      </w:pPr>
      <w:bookmarkStart w:id="4" w:name="_heading=h.xg59mhvuud97" w:colFirst="0" w:colLast="0"/>
      <w:bookmarkStart w:id="5" w:name="_heading=h.uqgslwjms1qg" w:colFirst="0" w:colLast="0"/>
      <w:bookmarkStart w:id="6" w:name="_heading=h.f04l10wv8zyg" w:colFirst="0" w:colLast="0"/>
      <w:bookmarkEnd w:id="4"/>
      <w:bookmarkEnd w:id="5"/>
      <w:bookmarkEnd w:id="6"/>
      <w:r w:rsidRPr="00B44278">
        <w:rPr>
          <w:rFonts w:eastAsia="Times New Roman" w:cs="Times New Roman"/>
          <w:b w:val="0"/>
          <w:color w:val="auto"/>
          <w:szCs w:val="24"/>
        </w:rPr>
        <w:lastRenderedPageBreak/>
        <w:t xml:space="preserve">A protein–protein interaction network was generated and saved as TSV file which was then imported into Cytoscape for the purpose of visualizing the network and conducting topological evaluation (Olanrewaju </w:t>
      </w:r>
      <w:r w:rsidR="00424714" w:rsidRPr="00B44278">
        <w:rPr>
          <w:rFonts w:eastAsia="Times New Roman" w:cs="Times New Roman"/>
          <w:b w:val="0"/>
          <w:i/>
          <w:color w:val="auto"/>
          <w:szCs w:val="24"/>
        </w:rPr>
        <w:t>et al</w:t>
      </w:r>
      <w:r w:rsidRPr="00B44278">
        <w:rPr>
          <w:rFonts w:eastAsia="Times New Roman" w:cs="Times New Roman"/>
          <w:b w:val="0"/>
          <w:color w:val="auto"/>
          <w:szCs w:val="24"/>
        </w:rPr>
        <w:t xml:space="preserve">., 2024). The Network Analyzer plugin was used to calculate the properties of the network such as node and edge parameters. These key targets were then identified using the CytoNCA plugin, which uses degree, betweenness and closeness centrality metrics (Li </w:t>
      </w:r>
      <w:r w:rsidR="00424714" w:rsidRPr="00B44278">
        <w:rPr>
          <w:rFonts w:eastAsia="Times New Roman" w:cs="Times New Roman"/>
          <w:b w:val="0"/>
          <w:i/>
          <w:color w:val="auto"/>
          <w:szCs w:val="24"/>
        </w:rPr>
        <w:t>et al</w:t>
      </w:r>
      <w:r w:rsidRPr="00B44278">
        <w:rPr>
          <w:rFonts w:eastAsia="Times New Roman" w:cs="Times New Roman"/>
          <w:b w:val="0"/>
          <w:color w:val="auto"/>
          <w:szCs w:val="24"/>
        </w:rPr>
        <w:t xml:space="preserve">., 2021). The ten most influential hub genes were first identified using the CytoHubba plugin (Jain </w:t>
      </w:r>
      <w:r w:rsidR="00424714" w:rsidRPr="00B44278">
        <w:rPr>
          <w:rFonts w:eastAsia="Times New Roman" w:cs="Times New Roman"/>
          <w:b w:val="0"/>
          <w:i/>
          <w:color w:val="auto"/>
          <w:szCs w:val="24"/>
        </w:rPr>
        <w:t>et al</w:t>
      </w:r>
      <w:r w:rsidRPr="00B44278">
        <w:rPr>
          <w:rFonts w:eastAsia="Times New Roman" w:cs="Times New Roman"/>
          <w:b w:val="0"/>
          <w:color w:val="auto"/>
          <w:szCs w:val="24"/>
        </w:rPr>
        <w:t>., 2024) and nodes with degree values equal to or higher than the median were then retained for subnetwork construction.</w:t>
      </w:r>
    </w:p>
    <w:p w14:paraId="1177C623" w14:textId="09E97C00" w:rsidR="001469C4" w:rsidRPr="00B44278" w:rsidRDefault="00802A6C" w:rsidP="001A6780">
      <w:pPr>
        <w:pStyle w:val="Heading8"/>
        <w:rPr>
          <w:rFonts w:eastAsia="Times New Roman" w:cs="Times New Roman"/>
          <w:szCs w:val="24"/>
        </w:rPr>
      </w:pPr>
      <w:r w:rsidRPr="00B44278">
        <w:rPr>
          <w:rFonts w:eastAsia="Times New Roman" w:cs="Times New Roman"/>
          <w:szCs w:val="24"/>
        </w:rPr>
        <w:t>3.4</w:t>
      </w:r>
      <w:r w:rsidRPr="00B44278">
        <w:rPr>
          <w:rFonts w:eastAsia="Times New Roman" w:cs="Times New Roman"/>
          <w:szCs w:val="24"/>
        </w:rPr>
        <w:tab/>
        <w:t>Functional Enrichment and Pathway Analysis</w:t>
      </w:r>
    </w:p>
    <w:p w14:paraId="6DBF64F7" w14:textId="77777777" w:rsidR="006E4455" w:rsidRPr="00B44278" w:rsidRDefault="00EE2DB9" w:rsidP="006E4455">
      <w:pPr>
        <w:pStyle w:val="Heading8"/>
        <w:jc w:val="both"/>
        <w:rPr>
          <w:rFonts w:cs="Times New Roman"/>
          <w:b w:val="0"/>
          <w:color w:val="auto"/>
          <w:szCs w:val="24"/>
        </w:rPr>
      </w:pPr>
      <w:bookmarkStart w:id="7" w:name="_heading=h.z4h2k528q4ga" w:colFirst="0" w:colLast="0"/>
      <w:bookmarkEnd w:id="7"/>
      <w:r w:rsidRPr="00B44278">
        <w:rPr>
          <w:rFonts w:cs="Times New Roman"/>
          <w:b w:val="0"/>
          <w:color w:val="auto"/>
          <w:szCs w:val="24"/>
        </w:rPr>
        <w:t xml:space="preserve">To elucidate the therapeutic mechanisms of luteolin against CRC, the identified core targets were subjected to Gene Ontology (GO) and KEGG pathway enrichment analyses using the DAVID 2021 functional annotation platform. Official gene symbols were uploaded with </w:t>
      </w:r>
      <w:r w:rsidRPr="00B44278">
        <w:rPr>
          <w:rStyle w:val="Emphasis"/>
          <w:rFonts w:cs="Times New Roman"/>
          <w:b w:val="0"/>
          <w:color w:val="auto"/>
          <w:szCs w:val="24"/>
        </w:rPr>
        <w:t>D. melanogaster</w:t>
      </w:r>
      <w:r w:rsidRPr="00B44278">
        <w:rPr>
          <w:rFonts w:cs="Times New Roman"/>
          <w:b w:val="0"/>
          <w:color w:val="auto"/>
          <w:szCs w:val="24"/>
        </w:rPr>
        <w:t xml:space="preserve"> specified as the reference organism. The analyses generated the top 10 molecular function terms and pathway categories, alongside the top 20 enriched KEGG pathways. Significant terms were selected based on gene count, </w:t>
      </w:r>
      <w:r w:rsidRPr="00B44278">
        <w:rPr>
          <w:rStyle w:val="Emphasis"/>
          <w:rFonts w:cs="Times New Roman"/>
          <w:b w:val="0"/>
          <w:color w:val="auto"/>
          <w:szCs w:val="24"/>
        </w:rPr>
        <w:t>p</w:t>
      </w:r>
      <w:r w:rsidRPr="00B44278">
        <w:rPr>
          <w:rFonts w:cs="Times New Roman"/>
          <w:b w:val="0"/>
          <w:color w:val="auto"/>
          <w:szCs w:val="24"/>
        </w:rPr>
        <w:t xml:space="preserve"> &lt; 0.01, and FDR &lt; 0.01 (Dorant </w:t>
      </w:r>
      <w:r w:rsidR="00424714" w:rsidRPr="00B44278">
        <w:rPr>
          <w:rFonts w:cs="Times New Roman"/>
          <w:b w:val="0"/>
          <w:i/>
          <w:color w:val="auto"/>
          <w:szCs w:val="24"/>
        </w:rPr>
        <w:t>et al</w:t>
      </w:r>
      <w:r w:rsidRPr="00B44278">
        <w:rPr>
          <w:rFonts w:cs="Times New Roman"/>
          <w:b w:val="0"/>
          <w:color w:val="auto"/>
          <w:szCs w:val="24"/>
        </w:rPr>
        <w:t>., 2024). GO and KEGG enrichment results, including bubble plots, were subsequently visualized using SRPlot</w:t>
      </w:r>
    </w:p>
    <w:p w14:paraId="1A04284B" w14:textId="77777777" w:rsidR="006E4455" w:rsidRPr="00B44278" w:rsidRDefault="006E4455" w:rsidP="006E4455">
      <w:pPr>
        <w:pStyle w:val="Heading8"/>
        <w:spacing w:before="0"/>
        <w:jc w:val="both"/>
        <w:rPr>
          <w:rFonts w:eastAsia="Times New Roman" w:cs="Times New Roman"/>
          <w:szCs w:val="24"/>
        </w:rPr>
      </w:pPr>
    </w:p>
    <w:p w14:paraId="2C8A9439" w14:textId="77777777" w:rsidR="006E4455" w:rsidRPr="00B44278" w:rsidRDefault="006E4455" w:rsidP="006E4455">
      <w:pPr>
        <w:pStyle w:val="Heading8"/>
        <w:spacing w:before="0"/>
        <w:jc w:val="both"/>
        <w:rPr>
          <w:rFonts w:eastAsia="Times New Roman" w:cs="Times New Roman"/>
          <w:szCs w:val="24"/>
        </w:rPr>
      </w:pPr>
    </w:p>
    <w:p w14:paraId="5B65136A" w14:textId="77777777" w:rsidR="006E4455" w:rsidRPr="00B44278" w:rsidRDefault="006E4455" w:rsidP="006E4455">
      <w:pPr>
        <w:pStyle w:val="Heading8"/>
        <w:spacing w:before="0"/>
        <w:jc w:val="both"/>
        <w:rPr>
          <w:rFonts w:eastAsia="Times New Roman" w:cs="Times New Roman"/>
          <w:szCs w:val="24"/>
        </w:rPr>
      </w:pPr>
    </w:p>
    <w:p w14:paraId="4FA6B900" w14:textId="77777777" w:rsidR="006E4455" w:rsidRPr="00B44278" w:rsidRDefault="006E4455" w:rsidP="006E4455">
      <w:pPr>
        <w:pStyle w:val="Heading8"/>
        <w:spacing w:before="0"/>
        <w:jc w:val="both"/>
        <w:rPr>
          <w:rFonts w:eastAsia="Times New Roman" w:cs="Times New Roman"/>
          <w:szCs w:val="24"/>
        </w:rPr>
      </w:pPr>
    </w:p>
    <w:p w14:paraId="4A1419A1" w14:textId="77777777" w:rsidR="006E4455" w:rsidRPr="00B44278" w:rsidRDefault="006E4455" w:rsidP="006E4455">
      <w:pPr>
        <w:pStyle w:val="Heading8"/>
        <w:spacing w:before="0"/>
        <w:jc w:val="both"/>
        <w:rPr>
          <w:rFonts w:eastAsia="Times New Roman" w:cs="Times New Roman"/>
          <w:szCs w:val="24"/>
        </w:rPr>
      </w:pPr>
    </w:p>
    <w:p w14:paraId="00280D29" w14:textId="77777777" w:rsidR="006E4455" w:rsidRPr="00B44278" w:rsidRDefault="006E4455" w:rsidP="006E4455">
      <w:pPr>
        <w:pStyle w:val="Heading8"/>
        <w:spacing w:before="0"/>
        <w:jc w:val="both"/>
        <w:rPr>
          <w:rFonts w:eastAsia="Times New Roman" w:cs="Times New Roman"/>
          <w:szCs w:val="24"/>
        </w:rPr>
      </w:pPr>
    </w:p>
    <w:p w14:paraId="1B8D7EF1" w14:textId="77777777" w:rsidR="006E4455" w:rsidRPr="00B44278" w:rsidRDefault="006E4455" w:rsidP="006E4455">
      <w:pPr>
        <w:pStyle w:val="Heading8"/>
        <w:spacing w:before="0"/>
        <w:jc w:val="both"/>
        <w:rPr>
          <w:rFonts w:eastAsia="Times New Roman" w:cs="Times New Roman"/>
          <w:szCs w:val="24"/>
        </w:rPr>
      </w:pPr>
    </w:p>
    <w:p w14:paraId="1E4B9B00" w14:textId="77777777" w:rsidR="006E4455" w:rsidRPr="00B44278" w:rsidRDefault="006E4455" w:rsidP="006E4455">
      <w:pPr>
        <w:pStyle w:val="Heading8"/>
        <w:spacing w:before="0"/>
        <w:jc w:val="both"/>
        <w:rPr>
          <w:rFonts w:eastAsia="Times New Roman" w:cs="Times New Roman"/>
          <w:szCs w:val="24"/>
        </w:rPr>
      </w:pPr>
    </w:p>
    <w:p w14:paraId="0788A032" w14:textId="77777777" w:rsidR="006E4455" w:rsidRPr="00B44278" w:rsidRDefault="00802A6C" w:rsidP="006E4455">
      <w:pPr>
        <w:pStyle w:val="Heading8"/>
        <w:spacing w:before="0"/>
        <w:jc w:val="both"/>
        <w:rPr>
          <w:rFonts w:cs="Times New Roman"/>
          <w:b w:val="0"/>
          <w:color w:val="auto"/>
          <w:szCs w:val="24"/>
        </w:rPr>
      </w:pPr>
      <w:r w:rsidRPr="00B44278">
        <w:rPr>
          <w:rFonts w:eastAsia="Times New Roman" w:cs="Times New Roman"/>
          <w:szCs w:val="24"/>
        </w:rPr>
        <w:lastRenderedPageBreak/>
        <w:t>3.5</w:t>
      </w:r>
      <w:r w:rsidRPr="00B44278">
        <w:rPr>
          <w:rFonts w:eastAsia="Times New Roman" w:cs="Times New Roman"/>
          <w:szCs w:val="24"/>
        </w:rPr>
        <w:tab/>
        <w:t>Network Construction and Visualization</w:t>
      </w:r>
    </w:p>
    <w:p w14:paraId="20609FA6" w14:textId="1F765769" w:rsidR="009E7F3C" w:rsidRPr="00B44278" w:rsidRDefault="009E7F3C" w:rsidP="006E4455">
      <w:pPr>
        <w:pStyle w:val="Heading8"/>
        <w:spacing w:before="0"/>
        <w:jc w:val="both"/>
        <w:rPr>
          <w:rFonts w:cs="Times New Roman"/>
          <w:b w:val="0"/>
          <w:color w:val="auto"/>
          <w:szCs w:val="24"/>
        </w:rPr>
      </w:pPr>
      <w:r w:rsidRPr="00B44278">
        <w:rPr>
          <w:rFonts w:eastAsia="Times New Roman" w:cs="Times New Roman"/>
          <w:b w:val="0"/>
          <w:color w:val="auto"/>
          <w:szCs w:val="24"/>
          <w:lang w:val="en-US"/>
        </w:rPr>
        <w:t xml:space="preserve">To investigate the relationship between luteolin and the predicted overlapping targets (Olanrewaju </w:t>
      </w:r>
      <w:r w:rsidR="00424714" w:rsidRPr="00B44278">
        <w:rPr>
          <w:rFonts w:eastAsia="Times New Roman" w:cs="Times New Roman"/>
          <w:b w:val="0"/>
          <w:i/>
          <w:color w:val="auto"/>
          <w:szCs w:val="24"/>
          <w:lang w:val="en-US"/>
        </w:rPr>
        <w:t>et al</w:t>
      </w:r>
      <w:r w:rsidRPr="00B44278">
        <w:rPr>
          <w:rFonts w:eastAsia="Times New Roman" w:cs="Times New Roman"/>
          <w:b w:val="0"/>
          <w:color w:val="auto"/>
          <w:szCs w:val="24"/>
          <w:lang w:val="en-US"/>
        </w:rPr>
        <w:t>., 2024), a bioactive target network was created in Cytoscape v3.9.1. The compound and shared gene targets were added to the software and the network topology was evaluated with the cytoNCA plugin according to the degree values. The PPI enrichment and KEGG enrichment results were integrated to create a luteolin–target–pathway network that includes the top 20 paths taken from the KEGG pathways and the hub genes. Each node in this network reflects a compound, target, or pathway; each edge reflects an interaction between the nodes.</w:t>
      </w:r>
    </w:p>
    <w:p w14:paraId="5EC41FC4" w14:textId="35D96817" w:rsidR="001469C4" w:rsidRPr="00B44278" w:rsidRDefault="00802A6C" w:rsidP="001A6780">
      <w:pPr>
        <w:pStyle w:val="Heading8"/>
        <w:rPr>
          <w:rFonts w:eastAsia="Times New Roman" w:cs="Times New Roman"/>
          <w:szCs w:val="24"/>
        </w:rPr>
      </w:pPr>
      <w:r w:rsidRPr="00B44278">
        <w:rPr>
          <w:rFonts w:eastAsia="Times New Roman" w:cs="Times New Roman"/>
          <w:szCs w:val="24"/>
        </w:rPr>
        <w:t>3.6</w:t>
      </w:r>
      <w:r w:rsidRPr="00B44278">
        <w:rPr>
          <w:rFonts w:eastAsia="Times New Roman" w:cs="Times New Roman"/>
          <w:szCs w:val="24"/>
        </w:rPr>
        <w:tab/>
        <w:t>Molecular Docking and Dynamics Simulation</w:t>
      </w:r>
    </w:p>
    <w:p w14:paraId="0C8B9E81" w14:textId="2F7F04C3" w:rsidR="003671F4" w:rsidRPr="00B44278" w:rsidRDefault="003671F4" w:rsidP="003671F4">
      <w:pPr>
        <w:spacing w:line="480" w:lineRule="auto"/>
        <w:jc w:val="both"/>
        <w:rPr>
          <w:rFonts w:ascii="Times New Roman" w:eastAsia="Times New Roman" w:hAnsi="Times New Roman" w:cs="Times New Roman"/>
          <w:sz w:val="24"/>
          <w:szCs w:val="24"/>
          <w:lang w:val="en-US"/>
        </w:rPr>
      </w:pPr>
      <w:bookmarkStart w:id="8" w:name="_heading=h.n4shjsfoz6u2" w:colFirst="0" w:colLast="0"/>
      <w:bookmarkEnd w:id="8"/>
      <w:r w:rsidRPr="00B44278">
        <w:rPr>
          <w:rFonts w:ascii="Times New Roman" w:eastAsia="Times New Roman" w:hAnsi="Times New Roman" w:cs="Times New Roman"/>
          <w:sz w:val="24"/>
          <w:szCs w:val="24"/>
          <w:lang w:val="en-US"/>
        </w:rPr>
        <w:t xml:space="preserve">The protein–protein interaction network and the bioactive compound–target–pathway network were employed to identify core protein targets to which luteolin was docked to determine its possible anticancer effects by binding to these protein targets. The 3D coordinates of the hub proteins were taken from the RCSB Protein Data Bank while the 2D structure of luteolin was downloaded from PubChem and optimized with the LigPrep module in Maestro Schrödinger v12.8 (Omirin </w:t>
      </w:r>
      <w:r w:rsidR="00424714" w:rsidRPr="00B44278">
        <w:rPr>
          <w:rFonts w:ascii="Times New Roman" w:eastAsia="Times New Roman" w:hAnsi="Times New Roman" w:cs="Times New Roman"/>
          <w:i/>
          <w:sz w:val="24"/>
          <w:szCs w:val="24"/>
          <w:lang w:val="en-US"/>
        </w:rPr>
        <w:t>et al</w:t>
      </w:r>
      <w:r w:rsidRPr="00B44278">
        <w:rPr>
          <w:rFonts w:ascii="Times New Roman" w:eastAsia="Times New Roman" w:hAnsi="Times New Roman" w:cs="Times New Roman"/>
          <w:sz w:val="24"/>
          <w:szCs w:val="24"/>
          <w:lang w:val="en-US"/>
        </w:rPr>
        <w:t>., 2024). The grid centre coordinates for the receptor grids are given in Table 4.1, which were created in the Glide Grid module.</w:t>
      </w:r>
    </w:p>
    <w:p w14:paraId="634C7215" w14:textId="4DE1D02B" w:rsidR="003671F4" w:rsidRPr="00B44278" w:rsidRDefault="003671F4" w:rsidP="003671F4">
      <w:pPr>
        <w:spacing w:line="480" w:lineRule="auto"/>
        <w:jc w:val="both"/>
        <w:rPr>
          <w:rFonts w:ascii="Times New Roman" w:eastAsia="Times New Roman" w:hAnsi="Times New Roman" w:cs="Times New Roman"/>
          <w:sz w:val="24"/>
          <w:szCs w:val="24"/>
          <w:lang w:val="en-US"/>
        </w:rPr>
      </w:pPr>
      <w:r w:rsidRPr="00B44278">
        <w:rPr>
          <w:rFonts w:ascii="Times New Roman" w:eastAsia="Times New Roman" w:hAnsi="Times New Roman" w:cs="Times New Roman"/>
          <w:sz w:val="24"/>
          <w:szCs w:val="24"/>
          <w:lang w:val="en-US"/>
        </w:rPr>
        <w:t xml:space="preserve">The Glide module was then used to perform molecular docking in extra precision (XP) mode. The stability of the obtained complexes was also evaluated by Prime MMGBSA module calculation of the binding free energies. Favourable binding affinities were screened and complexes with these affinities were subjected to molecular dynamics simulation with the Desmond package of Maestro (Olanrewaju </w:t>
      </w:r>
      <w:r w:rsidR="00424714" w:rsidRPr="00B44278">
        <w:rPr>
          <w:rFonts w:ascii="Times New Roman" w:eastAsia="Times New Roman" w:hAnsi="Times New Roman" w:cs="Times New Roman"/>
          <w:i/>
          <w:sz w:val="24"/>
          <w:szCs w:val="24"/>
          <w:lang w:val="en-US"/>
        </w:rPr>
        <w:t>et al</w:t>
      </w:r>
      <w:r w:rsidRPr="00B44278">
        <w:rPr>
          <w:rFonts w:ascii="Times New Roman" w:eastAsia="Times New Roman" w:hAnsi="Times New Roman" w:cs="Times New Roman"/>
          <w:sz w:val="24"/>
          <w:szCs w:val="24"/>
          <w:lang w:val="en-US"/>
        </w:rPr>
        <w:t xml:space="preserve">., 2023). Simulations were performed for 100 ns at NPT conditions, 300 K and 1.01325 bar. The preparation of the system was performed with the System Builder tool, water water model, an orthorhombic simulation box of 10 × 10 </w:t>
      </w:r>
      <w:r w:rsidRPr="00B44278">
        <w:rPr>
          <w:rFonts w:ascii="Times New Roman" w:eastAsia="Times New Roman" w:hAnsi="Times New Roman" w:cs="Times New Roman"/>
          <w:sz w:val="24"/>
          <w:szCs w:val="24"/>
          <w:lang w:val="en-US"/>
        </w:rPr>
        <w:lastRenderedPageBreak/>
        <w:t xml:space="preserve">× 10 Å, and the OPLS3e force field (Omirin </w:t>
      </w:r>
      <w:r w:rsidR="00424714" w:rsidRPr="00B44278">
        <w:rPr>
          <w:rFonts w:ascii="Times New Roman" w:eastAsia="Times New Roman" w:hAnsi="Times New Roman" w:cs="Times New Roman"/>
          <w:i/>
          <w:sz w:val="24"/>
          <w:szCs w:val="24"/>
          <w:lang w:val="en-US"/>
        </w:rPr>
        <w:t>et al</w:t>
      </w:r>
      <w:r w:rsidRPr="00B44278">
        <w:rPr>
          <w:rFonts w:ascii="Times New Roman" w:eastAsia="Times New Roman" w:hAnsi="Times New Roman" w:cs="Times New Roman"/>
          <w:sz w:val="24"/>
          <w:szCs w:val="24"/>
          <w:lang w:val="en-US"/>
        </w:rPr>
        <w:t>., 2024). Na⁺ and Cl⁻ ions were added to the systems to neutralize their charge and to minimize their energy.</w:t>
      </w:r>
    </w:p>
    <w:p w14:paraId="098F10CF" w14:textId="06C18AD1" w:rsidR="004D504B" w:rsidRPr="00B44278" w:rsidRDefault="003671F4" w:rsidP="003671F4">
      <w:pPr>
        <w:spacing w:line="480" w:lineRule="auto"/>
        <w:jc w:val="both"/>
        <w:rPr>
          <w:rStyle w:val="Strong"/>
          <w:rFonts w:ascii="Times New Roman" w:hAnsi="Times New Roman" w:cs="Times New Roman"/>
          <w:b w:val="0"/>
          <w:bCs w:val="0"/>
          <w:sz w:val="24"/>
          <w:szCs w:val="24"/>
        </w:rPr>
      </w:pPr>
      <w:r w:rsidRPr="00B44278">
        <w:rPr>
          <w:rFonts w:ascii="Times New Roman" w:eastAsia="Times New Roman" w:hAnsi="Times New Roman" w:cs="Times New Roman"/>
          <w:sz w:val="24"/>
          <w:szCs w:val="24"/>
          <w:lang w:val="en-US"/>
        </w:rPr>
        <w:t>To investigate the dynamic behaviour and stability of protein–ligand complexes, the root mean square deviation (RMSD) and root mean square fluctuation (RMSF) analyses were performed. RMSD was used to measure the deviation in the structure from the initial structure, while RMSF was used to measure the flexibility of the residues over the course of the simulation.</w:t>
      </w:r>
    </w:p>
    <w:p w14:paraId="1F57C801" w14:textId="77777777" w:rsidR="001469C4" w:rsidRPr="00B44278" w:rsidRDefault="00802A6C" w:rsidP="001A6780">
      <w:pPr>
        <w:pStyle w:val="Heading8"/>
        <w:rPr>
          <w:rFonts w:eastAsia="Times New Roman" w:cs="Times New Roman"/>
          <w:szCs w:val="24"/>
        </w:rPr>
      </w:pPr>
      <w:r w:rsidRPr="00B44278">
        <w:rPr>
          <w:rFonts w:eastAsia="Times New Roman" w:cs="Times New Roman"/>
          <w:szCs w:val="24"/>
        </w:rPr>
        <w:t>3.7</w:t>
      </w:r>
      <w:r w:rsidRPr="00B44278">
        <w:rPr>
          <w:rFonts w:eastAsia="Times New Roman" w:cs="Times New Roman"/>
          <w:szCs w:val="24"/>
        </w:rPr>
        <w:tab/>
        <w:t>Software and Statistical Analysis</w:t>
      </w:r>
    </w:p>
    <w:p w14:paraId="05A0800B" w14:textId="77777777" w:rsidR="001469C4" w:rsidRPr="00B44278" w:rsidRDefault="00802A6C">
      <w:pPr>
        <w:spacing w:line="480" w:lineRule="auto"/>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BIOVIA Discovery Studio Visualizer, Cytoscape v3.9.1, Maestro Schrodinger v12.8, and GraphPad Prism V9.</w:t>
      </w:r>
    </w:p>
    <w:p w14:paraId="795CE9E1" w14:textId="45F15B45" w:rsidR="001469C4" w:rsidRPr="00B44278" w:rsidRDefault="00802A6C" w:rsidP="001A6780">
      <w:pPr>
        <w:pStyle w:val="Heading8"/>
        <w:rPr>
          <w:rFonts w:eastAsia="Times New Roman" w:cs="Times New Roman"/>
          <w:szCs w:val="24"/>
        </w:rPr>
      </w:pPr>
      <w:r w:rsidRPr="00B44278">
        <w:rPr>
          <w:rFonts w:eastAsia="Times New Roman" w:cs="Times New Roman"/>
          <w:szCs w:val="24"/>
        </w:rPr>
        <w:t>3.8</w:t>
      </w:r>
      <w:r w:rsidRPr="00B44278">
        <w:rPr>
          <w:rFonts w:eastAsia="Times New Roman" w:cs="Times New Roman"/>
          <w:szCs w:val="24"/>
        </w:rPr>
        <w:tab/>
      </w:r>
      <w:r w:rsidR="000644BF" w:rsidRPr="00B44278">
        <w:rPr>
          <w:rFonts w:eastAsia="Times New Roman" w:cs="Times New Roman"/>
          <w:i/>
          <w:iCs/>
          <w:szCs w:val="24"/>
        </w:rPr>
        <w:t>In vivo</w:t>
      </w:r>
      <w:r w:rsidRPr="00B44278">
        <w:rPr>
          <w:rFonts w:eastAsia="Times New Roman" w:cs="Times New Roman"/>
          <w:szCs w:val="24"/>
        </w:rPr>
        <w:t xml:space="preserve"> Study Design</w:t>
      </w:r>
    </w:p>
    <w:p w14:paraId="7C854C4E" w14:textId="24B0C607" w:rsidR="001469C4" w:rsidRPr="00B44278" w:rsidRDefault="00802A6C">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This aspect of the study was designed to delineate the molecular mechanism by which luteolin modulates the expression of key hub genes </w:t>
      </w:r>
      <w:r w:rsidR="0088148E" w:rsidRPr="00B44278">
        <w:rPr>
          <w:rFonts w:ascii="Times New Roman" w:eastAsia="Times New Roman" w:hAnsi="Times New Roman" w:cs="Times New Roman"/>
          <w:sz w:val="24"/>
          <w:szCs w:val="24"/>
        </w:rPr>
        <w:t>in AOM-induced colorectal cancinogenesis</w:t>
      </w:r>
      <w:r w:rsidRPr="00B44278">
        <w:rPr>
          <w:rFonts w:ascii="Times New Roman" w:eastAsia="Times New Roman" w:hAnsi="Times New Roman" w:cs="Times New Roman"/>
          <w:sz w:val="24"/>
          <w:szCs w:val="24"/>
        </w:rPr>
        <w:t xml:space="preserve"> in Drosophila</w:t>
      </w:r>
      <w:r w:rsidR="0088148E" w:rsidRPr="00B44278">
        <w:rPr>
          <w:rFonts w:ascii="Times New Roman" w:eastAsia="Times New Roman" w:hAnsi="Times New Roman" w:cs="Times New Roman"/>
          <w:sz w:val="24"/>
          <w:szCs w:val="24"/>
        </w:rPr>
        <w:t xml:space="preserve"> model</w:t>
      </w:r>
      <w:r w:rsidRPr="00B44278">
        <w:rPr>
          <w:rFonts w:ascii="Times New Roman" w:eastAsia="Times New Roman" w:hAnsi="Times New Roman" w:cs="Times New Roman"/>
          <w:sz w:val="24"/>
          <w:szCs w:val="24"/>
        </w:rPr>
        <w:t xml:space="preserve">. </w:t>
      </w:r>
    </w:p>
    <w:p w14:paraId="20CD3803" w14:textId="77777777" w:rsidR="001469C4" w:rsidRPr="00B44278" w:rsidRDefault="00802A6C" w:rsidP="001A6780">
      <w:pPr>
        <w:pStyle w:val="Heading8"/>
        <w:rPr>
          <w:rFonts w:eastAsia="Times New Roman" w:cs="Times New Roman"/>
          <w:szCs w:val="24"/>
        </w:rPr>
      </w:pPr>
      <w:r w:rsidRPr="00B44278">
        <w:rPr>
          <w:rFonts w:eastAsia="Times New Roman" w:cs="Times New Roman"/>
          <w:szCs w:val="24"/>
        </w:rPr>
        <w:t>3.9</w:t>
      </w:r>
      <w:r w:rsidRPr="00B44278">
        <w:rPr>
          <w:rFonts w:eastAsia="Times New Roman" w:cs="Times New Roman"/>
          <w:szCs w:val="24"/>
        </w:rPr>
        <w:tab/>
        <w:t>Study Location</w:t>
      </w:r>
    </w:p>
    <w:p w14:paraId="7BEA7F50" w14:textId="61774F74" w:rsidR="001469C4" w:rsidRPr="00B44278" w:rsidRDefault="00802A6C">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The Eureka Research Laboratory at </w:t>
      </w:r>
      <w:r w:rsidR="0088148E" w:rsidRPr="00B44278">
        <w:rPr>
          <w:rFonts w:ascii="Times New Roman" w:eastAsia="Times New Roman" w:hAnsi="Times New Roman" w:cs="Times New Roman"/>
          <w:sz w:val="24"/>
          <w:szCs w:val="24"/>
        </w:rPr>
        <w:t xml:space="preserve">the </w:t>
      </w:r>
      <w:r w:rsidRPr="00B44278">
        <w:rPr>
          <w:rFonts w:ascii="Times New Roman" w:eastAsia="Times New Roman" w:hAnsi="Times New Roman" w:cs="Times New Roman"/>
          <w:sz w:val="24"/>
          <w:szCs w:val="24"/>
        </w:rPr>
        <w:t xml:space="preserve">Anatomy Department, Babcock University, Ilishan-Remo, Ogun State, was used for the </w:t>
      </w:r>
      <w:r w:rsidR="000644BF" w:rsidRPr="00B44278">
        <w:rPr>
          <w:rFonts w:ascii="Times New Roman" w:eastAsia="Times New Roman" w:hAnsi="Times New Roman" w:cs="Times New Roman"/>
          <w:i/>
          <w:sz w:val="24"/>
          <w:szCs w:val="24"/>
        </w:rPr>
        <w:t>In vivo</w:t>
      </w:r>
      <w:r w:rsidRPr="00B44278">
        <w:rPr>
          <w:rFonts w:ascii="Times New Roman" w:eastAsia="Times New Roman" w:hAnsi="Times New Roman" w:cs="Times New Roman"/>
          <w:sz w:val="24"/>
          <w:szCs w:val="24"/>
        </w:rPr>
        <w:t xml:space="preserve"> aspect of this study. </w:t>
      </w:r>
    </w:p>
    <w:p w14:paraId="189D43A4" w14:textId="161569CB" w:rsidR="001469C4" w:rsidRPr="00B44278" w:rsidRDefault="00F76E75" w:rsidP="00940A17">
      <w:pPr>
        <w:pStyle w:val="Heading8"/>
        <w:rPr>
          <w:rFonts w:eastAsia="Times New Roman" w:cs="Times New Roman"/>
          <w:szCs w:val="24"/>
        </w:rPr>
      </w:pPr>
      <w:r w:rsidRPr="00B44278">
        <w:rPr>
          <w:rFonts w:eastAsia="Times New Roman" w:cs="Times New Roman"/>
          <w:szCs w:val="24"/>
        </w:rPr>
        <w:t>3.10</w:t>
      </w:r>
      <w:r w:rsidR="00802A6C" w:rsidRPr="00B44278">
        <w:rPr>
          <w:rFonts w:eastAsia="Times New Roman" w:cs="Times New Roman"/>
          <w:szCs w:val="24"/>
        </w:rPr>
        <w:tab/>
        <w:t>Drosophila Stock and Culture</w:t>
      </w:r>
    </w:p>
    <w:p w14:paraId="6438A432" w14:textId="5C1C0428" w:rsidR="001469C4" w:rsidRPr="00B44278" w:rsidRDefault="00802A6C" w:rsidP="00071E86">
      <w:pPr>
        <w:spacing w:before="100" w:beforeAutospacing="1" w:after="100" w:afterAutospacing="1"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The Eureka Research Laboratory, Department of Anatomy, Babcock University, Ogun State, Nigeria, supplied and housed the wild-type (Oregon) Drosophila. They were cultured </w:t>
      </w:r>
      <w:r w:rsidR="00907DB3" w:rsidRPr="00B44278">
        <w:rPr>
          <w:rFonts w:ascii="Times New Roman" w:eastAsia="Times New Roman" w:hAnsi="Times New Roman" w:cs="Times New Roman"/>
          <w:sz w:val="24"/>
          <w:szCs w:val="24"/>
        </w:rPr>
        <w:t>`</w:t>
      </w:r>
      <w:r w:rsidRPr="00B44278">
        <w:rPr>
          <w:rFonts w:ascii="Times New Roman" w:eastAsia="Times New Roman" w:hAnsi="Times New Roman" w:cs="Times New Roman"/>
          <w:sz w:val="24"/>
          <w:szCs w:val="24"/>
        </w:rPr>
        <w:t xml:space="preserve">as earlier described by Omoboyowa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sz w:val="24"/>
          <w:szCs w:val="24"/>
        </w:rPr>
        <w:t>. (2025).</w:t>
      </w:r>
      <w:r w:rsidR="00374737" w:rsidRPr="00B44278">
        <w:rPr>
          <w:rFonts w:ascii="Times New Roman" w:eastAsia="Times New Roman" w:hAnsi="Times New Roman" w:cs="Times New Roman"/>
          <w:sz w:val="24"/>
          <w:szCs w:val="24"/>
        </w:rPr>
        <w:t xml:space="preserve"> The models were transferred to enclosed jar containing corn meal and they were made to feed </w:t>
      </w:r>
      <w:r w:rsidR="00374737" w:rsidRPr="00B44278">
        <w:rPr>
          <w:rFonts w:ascii="Times New Roman" w:eastAsia="Times New Roman" w:hAnsi="Times New Roman" w:cs="Times New Roman"/>
          <w:i/>
          <w:sz w:val="24"/>
          <w:szCs w:val="24"/>
        </w:rPr>
        <w:t>ad libitum.</w:t>
      </w:r>
      <w:r w:rsidR="00071E86" w:rsidRPr="00B44278">
        <w:rPr>
          <w:rFonts w:ascii="Times New Roman" w:eastAsia="Times New Roman" w:hAnsi="Times New Roman" w:cs="Times New Roman"/>
          <w:i/>
          <w:sz w:val="24"/>
          <w:szCs w:val="24"/>
        </w:rPr>
        <w:t xml:space="preserve"> </w:t>
      </w:r>
      <w:r w:rsidR="00071E86" w:rsidRPr="00B44278">
        <w:rPr>
          <w:rFonts w:ascii="Times New Roman" w:eastAsia="Times New Roman" w:hAnsi="Times New Roman" w:cs="Times New Roman"/>
          <w:sz w:val="24"/>
          <w:szCs w:val="24"/>
        </w:rPr>
        <w:t xml:space="preserve">After successfully culturing and acclimatizing the models on the prepared corn meal diet, they were randomly assigned into </w:t>
      </w:r>
      <w:r w:rsidR="00071E86" w:rsidRPr="00B44278">
        <w:rPr>
          <w:rFonts w:ascii="Times New Roman" w:eastAsia="Times New Roman" w:hAnsi="Times New Roman" w:cs="Times New Roman"/>
          <w:sz w:val="24"/>
          <w:szCs w:val="24"/>
        </w:rPr>
        <w:lastRenderedPageBreak/>
        <w:t>the following groups (n = 40): Baseline control (Basal CtrL), 0.5M AOM, AOM + 150mg/kg luteolin, AOM + 300mg/kg luteolin, and 300mg/kg luteolin. Colorectal carcinogenesis was modelled by addition of 0.5M AOM to the prepared diet of the models for the first six days. After induction, the meals were changed and luteolin was added in the right groups as mentioned.  The flies were monitored daily for survival, feeding activity, and general health status. At the end of the treatment period, flies were harvested and processed for subsequent molecular assessments. All experimental procedures were conducted at room temperature.</w:t>
      </w:r>
    </w:p>
    <w:p w14:paraId="02BEF294" w14:textId="0A5598FC" w:rsidR="001469C4" w:rsidRPr="00B44278" w:rsidRDefault="00F76E75" w:rsidP="00940A17">
      <w:pPr>
        <w:pStyle w:val="Heading8"/>
        <w:rPr>
          <w:rFonts w:eastAsia="Times New Roman" w:cs="Times New Roman"/>
          <w:szCs w:val="24"/>
        </w:rPr>
      </w:pPr>
      <w:r w:rsidRPr="00B44278">
        <w:rPr>
          <w:rFonts w:eastAsia="Times New Roman" w:cs="Times New Roman"/>
          <w:szCs w:val="24"/>
        </w:rPr>
        <w:t>3.11</w:t>
      </w:r>
      <w:r w:rsidR="00802A6C" w:rsidRPr="00B44278">
        <w:rPr>
          <w:rFonts w:eastAsia="Times New Roman" w:cs="Times New Roman"/>
          <w:szCs w:val="24"/>
        </w:rPr>
        <w:tab/>
        <w:t>Corn Meal Preparation</w:t>
      </w:r>
    </w:p>
    <w:p w14:paraId="288294E7" w14:textId="78E35BCC" w:rsidR="001469C4" w:rsidRPr="00B44278" w:rsidRDefault="00737E98">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Corn meal medium was prepared by boiling distilled water and incorporating yeast, agar-agar, corn meal, sugar, and nipagin under continuous stirring to obtain a homogeneous mixture. After preparation, the medium was allowed to cool before use. The detailed composition and proportions of the corn meal medium are presented in </w:t>
      </w:r>
      <w:r w:rsidRPr="00B44278">
        <w:rPr>
          <w:rFonts w:ascii="Times New Roman" w:eastAsia="Times New Roman" w:hAnsi="Times New Roman" w:cs="Times New Roman"/>
          <w:bCs/>
          <w:sz w:val="24"/>
          <w:szCs w:val="24"/>
        </w:rPr>
        <w:t>Appendix Table A1</w:t>
      </w:r>
      <w:r w:rsidRPr="00B44278">
        <w:rPr>
          <w:rFonts w:ascii="Times New Roman" w:eastAsia="Times New Roman" w:hAnsi="Times New Roman" w:cs="Times New Roman"/>
          <w:sz w:val="24"/>
          <w:szCs w:val="24"/>
        </w:rPr>
        <w:t>.</w:t>
      </w:r>
      <w:r w:rsidR="00802A6C" w:rsidRPr="00B44278">
        <w:rPr>
          <w:rFonts w:ascii="Times New Roman" w:eastAsia="Times New Roman" w:hAnsi="Times New Roman" w:cs="Times New Roman"/>
          <w:sz w:val="24"/>
          <w:szCs w:val="24"/>
        </w:rPr>
        <w:t xml:space="preserve"> </w:t>
      </w:r>
    </w:p>
    <w:p w14:paraId="34972F52" w14:textId="308D69F3" w:rsidR="001469C4" w:rsidRPr="00B44278" w:rsidRDefault="00F76E75" w:rsidP="00940A17">
      <w:pPr>
        <w:pStyle w:val="Heading8"/>
        <w:rPr>
          <w:rFonts w:eastAsia="Times New Roman" w:cs="Times New Roman"/>
          <w:szCs w:val="24"/>
        </w:rPr>
      </w:pPr>
      <w:r w:rsidRPr="00B44278">
        <w:rPr>
          <w:rFonts w:eastAsia="Times New Roman" w:cs="Times New Roman"/>
          <w:szCs w:val="24"/>
        </w:rPr>
        <w:t>3.12</w:t>
      </w:r>
      <w:r w:rsidR="00802A6C" w:rsidRPr="00B44278">
        <w:rPr>
          <w:rFonts w:eastAsia="Times New Roman" w:cs="Times New Roman"/>
          <w:szCs w:val="24"/>
        </w:rPr>
        <w:tab/>
        <w:t>Sacrifice and Total PolyA RNA Isolation</w:t>
      </w:r>
      <w:r w:rsidR="00243A03" w:rsidRPr="00B44278">
        <w:rPr>
          <w:rFonts w:eastAsia="Times New Roman" w:cs="Times New Roman"/>
          <w:szCs w:val="24"/>
        </w:rPr>
        <w:t xml:space="preserve"> from Drosophila</w:t>
      </w:r>
    </w:p>
    <w:p w14:paraId="26FF289E" w14:textId="3D10067D" w:rsidR="001469C4" w:rsidRPr="00B44278" w:rsidRDefault="00071E86">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After the fourteenth day of culture, the drosophila</w:t>
      </w:r>
      <w:r w:rsidR="00802A6C" w:rsidRPr="00B44278">
        <w:rPr>
          <w:rFonts w:ascii="Times New Roman" w:eastAsia="Times New Roman" w:hAnsi="Times New Roman" w:cs="Times New Roman"/>
          <w:sz w:val="24"/>
          <w:szCs w:val="24"/>
        </w:rPr>
        <w:t xml:space="preserve"> were ethically sacrificed via carbon (iv) oxide asphyxiation, and were completely homogenized in RNA SNAP</w:t>
      </w:r>
      <w:r w:rsidR="00802A6C" w:rsidRPr="00B44278">
        <w:rPr>
          <w:rFonts w:ascii="Times New Roman" w:eastAsia="Times New Roman" w:hAnsi="Times New Roman" w:cs="Times New Roman"/>
          <w:sz w:val="24"/>
          <w:szCs w:val="24"/>
          <w:vertAlign w:val="superscript"/>
        </w:rPr>
        <w:t>TM</w:t>
      </w:r>
      <w:r w:rsidR="00802A6C" w:rsidRPr="00B44278">
        <w:rPr>
          <w:rFonts w:ascii="Times New Roman" w:eastAsia="Times New Roman" w:hAnsi="Times New Roman" w:cs="Times New Roman"/>
          <w:sz w:val="24"/>
          <w:szCs w:val="24"/>
        </w:rPr>
        <w:t xml:space="preserve"> Kit following manufacturer</w:t>
      </w:r>
      <w:r w:rsidRPr="00B44278">
        <w:rPr>
          <w:rFonts w:ascii="Times New Roman" w:eastAsia="Times New Roman" w:hAnsi="Times New Roman" w:cs="Times New Roman"/>
          <w:sz w:val="24"/>
          <w:szCs w:val="24"/>
        </w:rPr>
        <w:t>’s</w:t>
      </w:r>
      <w:r w:rsidR="00802A6C" w:rsidRPr="00B44278">
        <w:rPr>
          <w:rFonts w:ascii="Times New Roman" w:eastAsia="Times New Roman" w:hAnsi="Times New Roman" w:cs="Times New Roman"/>
          <w:sz w:val="24"/>
          <w:szCs w:val="24"/>
        </w:rPr>
        <w:t xml:space="preserve"> protocol (Omoboyowa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2025). After homogenization in Eppendorf tubes, homogenates were centrifuged for 30 minutes at 14500 rpm. After carefully aspirating the RNA phase into fresh tubes, RNA was precipitated by</w:t>
      </w:r>
      <w:r w:rsidR="00344D2C" w:rsidRPr="00B44278">
        <w:rPr>
          <w:rFonts w:ascii="Times New Roman" w:eastAsia="Times New Roman" w:hAnsi="Times New Roman" w:cs="Times New Roman"/>
          <w:sz w:val="24"/>
          <w:szCs w:val="24"/>
        </w:rPr>
        <w:t xml:space="preserve"> the addition</w:t>
      </w:r>
      <w:r w:rsidR="00802A6C" w:rsidRPr="00B44278">
        <w:rPr>
          <w:rFonts w:ascii="Times New Roman" w:eastAsia="Times New Roman" w:hAnsi="Times New Roman" w:cs="Times New Roman"/>
          <w:sz w:val="24"/>
          <w:szCs w:val="24"/>
        </w:rPr>
        <w:t xml:space="preserve"> isopropanol</w:t>
      </w:r>
      <w:r w:rsidR="00344D2C" w:rsidRPr="00B44278">
        <w:rPr>
          <w:rFonts w:ascii="Times New Roman" w:eastAsia="Times New Roman" w:hAnsi="Times New Roman" w:cs="Times New Roman"/>
          <w:sz w:val="24"/>
          <w:szCs w:val="24"/>
        </w:rPr>
        <w:t xml:space="preserve"> (1:1)</w:t>
      </w:r>
      <w:r w:rsidR="00802A6C" w:rsidRPr="00B44278">
        <w:rPr>
          <w:rFonts w:ascii="Times New Roman" w:eastAsia="Times New Roman" w:hAnsi="Times New Roman" w:cs="Times New Roman"/>
          <w:sz w:val="24"/>
          <w:szCs w:val="24"/>
        </w:rPr>
        <w:t xml:space="preserve">. Following an hour of incubation at 4 degree celsius and additional centrifugation, the pelleted RNA was recovered using 70 % ethanol. The RNA isolated was resuspended in molecular water (RNase-free water). The amount and purity of the isolated RNA was determined by A260/A280 ratio. </w:t>
      </w:r>
    </w:p>
    <w:p w14:paraId="25C60859" w14:textId="24378824" w:rsidR="001469C4" w:rsidRPr="00B44278" w:rsidRDefault="00F76E75" w:rsidP="00940A17">
      <w:pPr>
        <w:pStyle w:val="Heading8"/>
        <w:rPr>
          <w:rFonts w:eastAsia="Times New Roman" w:cs="Times New Roman"/>
          <w:szCs w:val="24"/>
        </w:rPr>
      </w:pPr>
      <w:r w:rsidRPr="00B44278">
        <w:rPr>
          <w:rFonts w:eastAsia="Times New Roman" w:cs="Times New Roman"/>
          <w:szCs w:val="24"/>
        </w:rPr>
        <w:lastRenderedPageBreak/>
        <w:t>3.13</w:t>
      </w:r>
      <w:r w:rsidR="00802A6C" w:rsidRPr="00B44278">
        <w:rPr>
          <w:rFonts w:eastAsia="Times New Roman" w:cs="Times New Roman"/>
          <w:szCs w:val="24"/>
        </w:rPr>
        <w:tab/>
        <w:t>cDNA Synthesis</w:t>
      </w:r>
    </w:p>
    <w:p w14:paraId="393AF4BB" w14:textId="67A4696B" w:rsidR="001469C4" w:rsidRPr="00B44278" w:rsidRDefault="000748C9">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The ration of the absorbance </w:t>
      </w:r>
      <w:r w:rsidR="00040C5B" w:rsidRPr="00B44278">
        <w:rPr>
          <w:rFonts w:ascii="Times New Roman" w:eastAsia="Times New Roman" w:hAnsi="Times New Roman" w:cs="Times New Roman"/>
          <w:sz w:val="24"/>
          <w:szCs w:val="24"/>
        </w:rPr>
        <w:t xml:space="preserve">at 260/280 </w:t>
      </w:r>
      <w:r w:rsidR="00344D2C" w:rsidRPr="00B44278">
        <w:rPr>
          <w:rFonts w:ascii="Times New Roman" w:eastAsia="Times New Roman" w:hAnsi="Times New Roman" w:cs="Times New Roman"/>
          <w:sz w:val="24"/>
          <w:szCs w:val="24"/>
        </w:rPr>
        <w:t>was read</w:t>
      </w:r>
      <w:r w:rsidR="00F168D6" w:rsidRPr="00B44278">
        <w:rPr>
          <w:rFonts w:ascii="Times New Roman" w:eastAsia="Times New Roman" w:hAnsi="Times New Roman" w:cs="Times New Roman"/>
          <w:sz w:val="24"/>
          <w:szCs w:val="24"/>
        </w:rPr>
        <w:t xml:space="preserve"> spectrophotomet</w:t>
      </w:r>
      <w:r w:rsidR="00802A6C" w:rsidRPr="00B44278">
        <w:rPr>
          <w:rFonts w:ascii="Times New Roman" w:eastAsia="Times New Roman" w:hAnsi="Times New Roman" w:cs="Times New Roman"/>
          <w:sz w:val="24"/>
          <w:szCs w:val="24"/>
        </w:rPr>
        <w:t>r</w:t>
      </w:r>
      <w:r w:rsidR="00F168D6" w:rsidRPr="00B44278">
        <w:rPr>
          <w:rFonts w:ascii="Times New Roman" w:eastAsia="Times New Roman" w:hAnsi="Times New Roman" w:cs="Times New Roman"/>
          <w:sz w:val="24"/>
          <w:szCs w:val="24"/>
        </w:rPr>
        <w:t>ically</w:t>
      </w:r>
      <w:r w:rsidR="00802A6C" w:rsidRPr="00B44278">
        <w:rPr>
          <w:rFonts w:ascii="Times New Roman" w:eastAsia="Times New Roman" w:hAnsi="Times New Roman" w:cs="Times New Roman"/>
          <w:sz w:val="24"/>
          <w:szCs w:val="24"/>
        </w:rPr>
        <w:t xml:space="preserve"> in order to determine the total RNA and purity level prior to cDNA conversion. Following DNase I (NEB; Cat: M0253S) treatment, all contaminants were eliminated following manufacturer’s procedure. The reverse transcriptase (RT) enzyme kit (NEB; Cat: M0303S) was used to convert suitable concentration of DNA-free RNA in right volume to cDNA for downstream experiment. Overnight, the cDNA synthesis continued at room temperature. RT enzyme was inactivated for 20 minutes at sixty degree celsius following the method of Omotuyi </w:t>
      </w:r>
      <w:r w:rsidR="00424714" w:rsidRPr="00B44278">
        <w:rPr>
          <w:rFonts w:ascii="Times New Roman" w:eastAsia="Times New Roman" w:hAnsi="Times New Roman" w:cs="Times New Roman"/>
          <w:i/>
          <w:sz w:val="24"/>
          <w:szCs w:val="24"/>
        </w:rPr>
        <w:t>et al</w:t>
      </w:r>
      <w:r w:rsidR="00802A6C" w:rsidRPr="00B44278">
        <w:rPr>
          <w:rFonts w:ascii="Times New Roman" w:eastAsia="Times New Roman" w:hAnsi="Times New Roman" w:cs="Times New Roman"/>
          <w:sz w:val="24"/>
          <w:szCs w:val="24"/>
        </w:rPr>
        <w:t xml:space="preserve">. (2018).   </w:t>
      </w:r>
    </w:p>
    <w:p w14:paraId="25CB7ED4" w14:textId="073839E8" w:rsidR="001469C4" w:rsidRPr="00B44278" w:rsidRDefault="00F76E75" w:rsidP="00940A17">
      <w:pPr>
        <w:pStyle w:val="Heading8"/>
        <w:rPr>
          <w:rFonts w:eastAsia="Times New Roman" w:cs="Times New Roman"/>
          <w:szCs w:val="24"/>
        </w:rPr>
      </w:pPr>
      <w:r w:rsidRPr="00B44278">
        <w:rPr>
          <w:rFonts w:eastAsia="Times New Roman" w:cs="Times New Roman"/>
          <w:szCs w:val="24"/>
        </w:rPr>
        <w:t>3.14</w:t>
      </w:r>
      <w:r w:rsidR="00802A6C" w:rsidRPr="00B44278">
        <w:rPr>
          <w:rFonts w:eastAsia="Times New Roman" w:cs="Times New Roman"/>
          <w:szCs w:val="24"/>
        </w:rPr>
        <w:tab/>
        <w:t>PCR Amplification and Agarose Gel Electrophoresis</w:t>
      </w:r>
    </w:p>
    <w:p w14:paraId="0ACD5D24" w14:textId="58828F21" w:rsidR="001469C4" w:rsidRPr="00B44278" w:rsidRDefault="00802A6C">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 xml:space="preserve">Primers (Table 3.2) were designed using Primer3 software prior to PCR amplification for mRNA expression, and BLAST in the NCBI database was used for </w:t>
      </w:r>
      <w:r w:rsidR="009F1830" w:rsidRPr="00B44278">
        <w:rPr>
          <w:rFonts w:ascii="Times New Roman" w:eastAsia="Times New Roman" w:hAnsi="Times New Roman" w:cs="Times New Roman"/>
          <w:sz w:val="24"/>
          <w:szCs w:val="24"/>
        </w:rPr>
        <w:t>primer</w:t>
      </w:r>
      <w:r w:rsidRPr="00B44278">
        <w:rPr>
          <w:rFonts w:ascii="Times New Roman" w:eastAsia="Times New Roman" w:hAnsi="Times New Roman" w:cs="Times New Roman"/>
          <w:sz w:val="24"/>
          <w:szCs w:val="24"/>
        </w:rPr>
        <w:t xml:space="preserve"> verification. Inqaba Biotec</w:t>
      </w:r>
      <w:r w:rsidR="009F1830" w:rsidRPr="00B44278">
        <w:rPr>
          <w:rFonts w:ascii="Times New Roman" w:eastAsia="Times New Roman" w:hAnsi="Times New Roman" w:cs="Times New Roman"/>
          <w:sz w:val="24"/>
          <w:szCs w:val="24"/>
        </w:rPr>
        <w:t>,</w:t>
      </w:r>
      <w:r w:rsidRPr="00B44278">
        <w:rPr>
          <w:rFonts w:ascii="Times New Roman" w:eastAsia="Times New Roman" w:hAnsi="Times New Roman" w:cs="Times New Roman"/>
          <w:sz w:val="24"/>
          <w:szCs w:val="24"/>
        </w:rPr>
        <w:t xml:space="preserve"> West Africa</w:t>
      </w:r>
      <w:r w:rsidR="009F1830" w:rsidRPr="00B44278">
        <w:rPr>
          <w:rFonts w:ascii="Times New Roman" w:eastAsia="Times New Roman" w:hAnsi="Times New Roman" w:cs="Times New Roman"/>
          <w:sz w:val="24"/>
          <w:szCs w:val="24"/>
        </w:rPr>
        <w:t>,</w:t>
      </w:r>
      <w:r w:rsidRPr="00B44278">
        <w:rPr>
          <w:rFonts w:ascii="Times New Roman" w:eastAsia="Times New Roman" w:hAnsi="Times New Roman" w:cs="Times New Roman"/>
          <w:sz w:val="24"/>
          <w:szCs w:val="24"/>
        </w:rPr>
        <w:t xml:space="preserve"> supplied all the designed primers. The reaction mechanism was tuned before amplification. Multigen  Optimax PCR machine was used to perform the PCR reaction, which involved template cDNA, RNase-free water, forward and reverse primers, and a mix of Taq Polymerase for a full enzymatic reaction. Five minutes </w:t>
      </w:r>
      <w:r w:rsidR="00344D2C" w:rsidRPr="00B44278">
        <w:rPr>
          <w:rFonts w:ascii="Times New Roman" w:eastAsia="Times New Roman" w:hAnsi="Times New Roman" w:cs="Times New Roman"/>
          <w:sz w:val="24"/>
          <w:szCs w:val="24"/>
        </w:rPr>
        <w:t>of pre-denaturation at 94</w:t>
      </w:r>
      <w:r w:rsidR="00344D2C" w:rsidRPr="00B44278">
        <w:rPr>
          <w:rFonts w:ascii="Times New Roman" w:eastAsia="Times New Roman" w:hAnsi="Times New Roman" w:cs="Times New Roman"/>
          <w:sz w:val="24"/>
          <w:szCs w:val="24"/>
          <w:vertAlign w:val="superscript"/>
        </w:rPr>
        <w:t>0</w:t>
      </w:r>
      <w:r w:rsidR="00344D2C" w:rsidRPr="00B44278">
        <w:rPr>
          <w:rFonts w:ascii="Times New Roman" w:eastAsia="Times New Roman" w:hAnsi="Times New Roman" w:cs="Times New Roman"/>
          <w:sz w:val="24"/>
          <w:szCs w:val="24"/>
        </w:rPr>
        <w:t>C, thirty-five cycles of 94</w:t>
      </w:r>
      <w:r w:rsidR="00344D2C" w:rsidRPr="00B44278">
        <w:rPr>
          <w:rFonts w:ascii="Times New Roman" w:eastAsia="Times New Roman" w:hAnsi="Times New Roman" w:cs="Times New Roman"/>
          <w:sz w:val="24"/>
          <w:szCs w:val="24"/>
          <w:vertAlign w:val="superscript"/>
        </w:rPr>
        <w:t>0</w:t>
      </w:r>
      <w:r w:rsidR="00344D2C" w:rsidRPr="00B44278">
        <w:rPr>
          <w:rFonts w:ascii="Times New Roman" w:eastAsia="Times New Roman" w:hAnsi="Times New Roman" w:cs="Times New Roman"/>
          <w:sz w:val="24"/>
          <w:szCs w:val="24"/>
        </w:rPr>
        <w:t>C for 30 seconds, annealing at 56</w:t>
      </w:r>
      <w:r w:rsidR="00344D2C" w:rsidRPr="00B44278">
        <w:rPr>
          <w:rFonts w:ascii="Times New Roman" w:eastAsia="Times New Roman" w:hAnsi="Times New Roman" w:cs="Times New Roman"/>
          <w:sz w:val="24"/>
          <w:szCs w:val="24"/>
          <w:vertAlign w:val="superscript"/>
        </w:rPr>
        <w:t>0</w:t>
      </w:r>
      <w:r w:rsidR="00344D2C" w:rsidRPr="00B44278">
        <w:rPr>
          <w:rFonts w:ascii="Times New Roman" w:eastAsia="Times New Roman" w:hAnsi="Times New Roman" w:cs="Times New Roman"/>
          <w:sz w:val="24"/>
          <w:szCs w:val="24"/>
        </w:rPr>
        <w:t>C for 45 seconds, extension at 72</w:t>
      </w:r>
      <w:r w:rsidR="00344D2C" w:rsidRPr="00B44278">
        <w:rPr>
          <w:rFonts w:ascii="Times New Roman" w:eastAsia="Times New Roman" w:hAnsi="Times New Roman" w:cs="Times New Roman"/>
          <w:sz w:val="24"/>
          <w:szCs w:val="24"/>
          <w:vertAlign w:val="superscript"/>
        </w:rPr>
        <w:t>0</w:t>
      </w:r>
      <w:r w:rsidR="00344D2C" w:rsidRPr="00B44278">
        <w:rPr>
          <w:rFonts w:ascii="Times New Roman" w:eastAsia="Times New Roman" w:hAnsi="Times New Roman" w:cs="Times New Roman"/>
          <w:sz w:val="24"/>
          <w:szCs w:val="24"/>
        </w:rPr>
        <w:t xml:space="preserve">C </w:t>
      </w:r>
      <w:r w:rsidRPr="00B44278">
        <w:rPr>
          <w:rFonts w:ascii="Times New Roman" w:eastAsia="Times New Roman" w:hAnsi="Times New Roman" w:cs="Times New Roman"/>
          <w:sz w:val="24"/>
          <w:szCs w:val="24"/>
        </w:rPr>
        <w:t xml:space="preserve">for 90 seconds, and a final extension at 72 degree for 10 minutes comprise the amplification cycle. After that, the generated amplicons were assayed in 1 % agarose gel electrophoresis following the method earlier described by Omotuyi </w:t>
      </w:r>
      <w:r w:rsidR="00424714" w:rsidRPr="00B44278">
        <w:rPr>
          <w:rFonts w:ascii="Times New Roman" w:eastAsia="Times New Roman" w:hAnsi="Times New Roman" w:cs="Times New Roman"/>
          <w:i/>
          <w:sz w:val="24"/>
          <w:szCs w:val="24"/>
        </w:rPr>
        <w:t>et al</w:t>
      </w:r>
      <w:r w:rsidRPr="00B44278">
        <w:rPr>
          <w:rFonts w:ascii="Times New Roman" w:eastAsia="Times New Roman" w:hAnsi="Times New Roman" w:cs="Times New Roman"/>
          <w:i/>
          <w:sz w:val="24"/>
          <w:szCs w:val="24"/>
        </w:rPr>
        <w:t>.</w:t>
      </w:r>
      <w:r w:rsidRPr="00B44278">
        <w:rPr>
          <w:rFonts w:ascii="Times New Roman" w:eastAsia="Times New Roman" w:hAnsi="Times New Roman" w:cs="Times New Roman"/>
          <w:sz w:val="24"/>
          <w:szCs w:val="24"/>
        </w:rPr>
        <w:t xml:space="preserve"> (2018). </w:t>
      </w:r>
    </w:p>
    <w:p w14:paraId="037AE48E" w14:textId="3E5128DD" w:rsidR="001469C4" w:rsidRPr="00B44278" w:rsidRDefault="00F76E75" w:rsidP="00940A17">
      <w:pPr>
        <w:pStyle w:val="Heading8"/>
        <w:rPr>
          <w:rFonts w:eastAsia="Times New Roman" w:cs="Times New Roman"/>
          <w:szCs w:val="24"/>
        </w:rPr>
      </w:pPr>
      <w:r w:rsidRPr="00B44278">
        <w:rPr>
          <w:rFonts w:eastAsia="Times New Roman" w:cs="Times New Roman"/>
          <w:szCs w:val="24"/>
        </w:rPr>
        <w:t>3.15</w:t>
      </w:r>
      <w:r w:rsidR="00802A6C" w:rsidRPr="00B44278">
        <w:rPr>
          <w:rFonts w:eastAsia="Times New Roman" w:cs="Times New Roman"/>
          <w:szCs w:val="24"/>
        </w:rPr>
        <w:tab/>
        <w:t>Gel Cleaning and Number Generation</w:t>
      </w:r>
    </w:p>
    <w:p w14:paraId="1C9ED116" w14:textId="77777777" w:rsidR="001469C4" w:rsidRPr="00B44278" w:rsidRDefault="00802A6C">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sz w:val="24"/>
          <w:szCs w:val="24"/>
        </w:rPr>
        <w:t>The Keynote software of the Mac OS was used to clean every dark region around the gel image generated from the electrophoresis experiment, and subsequently, the ImageJ software was also used to do cell counting which eventually generated the figures analyzed for the mRNA quantification.</w:t>
      </w:r>
      <w:r w:rsidRPr="00B44278">
        <w:rPr>
          <w:rFonts w:ascii="Times New Roman" w:hAnsi="Times New Roman" w:cs="Times New Roman"/>
          <w:sz w:val="24"/>
          <w:szCs w:val="24"/>
        </w:rPr>
        <w:br w:type="page"/>
      </w:r>
    </w:p>
    <w:p w14:paraId="13C806FF" w14:textId="77777777" w:rsidR="001469C4" w:rsidRDefault="00802A6C">
      <w:pPr>
        <w:spacing w:line="480" w:lineRule="auto"/>
        <w:jc w:val="both"/>
        <w:rPr>
          <w:rFonts w:ascii="Times New Roman" w:eastAsia="Times New Roman" w:hAnsi="Times New Roman" w:cs="Times New Roman"/>
          <w:sz w:val="24"/>
          <w:szCs w:val="24"/>
        </w:rPr>
      </w:pPr>
      <w:r w:rsidRPr="00B44278">
        <w:rPr>
          <w:rFonts w:ascii="Times New Roman" w:eastAsia="Times New Roman" w:hAnsi="Times New Roman" w:cs="Times New Roman"/>
          <w:b/>
          <w:bCs/>
          <w:sz w:val="24"/>
          <w:szCs w:val="24"/>
        </w:rPr>
        <w:lastRenderedPageBreak/>
        <w:t>Table 3.1:</w:t>
      </w:r>
      <w:r w:rsidRPr="00B44278">
        <w:rPr>
          <w:rFonts w:ascii="Times New Roman" w:eastAsia="Times New Roman" w:hAnsi="Times New Roman" w:cs="Times New Roman"/>
          <w:sz w:val="24"/>
          <w:szCs w:val="24"/>
        </w:rPr>
        <w:t xml:space="preserve"> Table showing list of primers used</w:t>
      </w:r>
      <w:r>
        <w:rPr>
          <w:rFonts w:ascii="Times New Roman" w:eastAsia="Times New Roman" w:hAnsi="Times New Roman" w:cs="Times New Roman"/>
          <w:sz w:val="24"/>
          <w:szCs w:val="24"/>
        </w:rPr>
        <w:t xml:space="preserve"> for the study. </w:t>
      </w:r>
    </w:p>
    <w:sdt>
      <w:sdtPr>
        <w:tag w:val="goog_rdk_2"/>
        <w:id w:val="-895042656"/>
        <w:lock w:val="contentLocked"/>
      </w:sdtPr>
      <w:sdtContent>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1469C4" w14:paraId="6C1D5529" w14:textId="77777777">
            <w:tc>
              <w:tcPr>
                <w:tcW w:w="3120" w:type="dxa"/>
                <w:shd w:val="clear" w:color="auto" w:fill="auto"/>
                <w:tcMar>
                  <w:top w:w="100" w:type="dxa"/>
                  <w:left w:w="100" w:type="dxa"/>
                  <w:bottom w:w="100" w:type="dxa"/>
                  <w:right w:w="100" w:type="dxa"/>
                </w:tcMar>
              </w:tcPr>
              <w:p w14:paraId="7BC11B7B"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Primer</w:t>
                </w:r>
              </w:p>
            </w:tc>
            <w:tc>
              <w:tcPr>
                <w:tcW w:w="3120" w:type="dxa"/>
                <w:shd w:val="clear" w:color="auto" w:fill="auto"/>
                <w:tcMar>
                  <w:top w:w="100" w:type="dxa"/>
                  <w:left w:w="100" w:type="dxa"/>
                  <w:bottom w:w="100" w:type="dxa"/>
                  <w:right w:w="100" w:type="dxa"/>
                </w:tcMar>
              </w:tcPr>
              <w:p w14:paraId="3A483C63"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Forward (5’- 3’)</w:t>
                </w:r>
              </w:p>
            </w:tc>
            <w:tc>
              <w:tcPr>
                <w:tcW w:w="3120" w:type="dxa"/>
                <w:shd w:val="clear" w:color="auto" w:fill="auto"/>
                <w:tcMar>
                  <w:top w:w="100" w:type="dxa"/>
                  <w:left w:w="100" w:type="dxa"/>
                  <w:bottom w:w="100" w:type="dxa"/>
                  <w:right w:w="100" w:type="dxa"/>
                </w:tcMar>
              </w:tcPr>
              <w:p w14:paraId="004181CD"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Reverse (5’- 3’)</w:t>
                </w:r>
              </w:p>
            </w:tc>
          </w:tr>
          <w:tr w:rsidR="001469C4" w14:paraId="67F59820" w14:textId="77777777">
            <w:trPr>
              <w:trHeight w:val="500"/>
            </w:trPr>
            <w:tc>
              <w:tcPr>
                <w:tcW w:w="3120" w:type="dxa"/>
                <w:shd w:val="clear" w:color="auto" w:fill="auto"/>
                <w:tcMar>
                  <w:top w:w="100" w:type="dxa"/>
                  <w:left w:w="100" w:type="dxa"/>
                  <w:bottom w:w="100" w:type="dxa"/>
                  <w:right w:w="100" w:type="dxa"/>
                </w:tcMar>
              </w:tcPr>
              <w:p w14:paraId="3C58EEDF"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TP53</w:t>
                </w:r>
              </w:p>
            </w:tc>
            <w:tc>
              <w:tcPr>
                <w:tcW w:w="3120" w:type="dxa"/>
                <w:shd w:val="clear" w:color="auto" w:fill="auto"/>
                <w:tcMar>
                  <w:top w:w="100" w:type="dxa"/>
                  <w:left w:w="100" w:type="dxa"/>
                  <w:bottom w:w="100" w:type="dxa"/>
                  <w:right w:w="100" w:type="dxa"/>
                </w:tcMar>
              </w:tcPr>
              <w:p w14:paraId="3AD0B54F"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Arial" w:eastAsia="Arial" w:hAnsi="Arial" w:cs="Arial"/>
                    <w:sz w:val="20"/>
                    <w:szCs w:val="20"/>
                  </w:rPr>
                  <w:t>ATGAGCGCAAACAATCCGTG</w:t>
                </w:r>
              </w:p>
            </w:tc>
            <w:tc>
              <w:tcPr>
                <w:tcW w:w="3120" w:type="dxa"/>
                <w:shd w:val="clear" w:color="auto" w:fill="auto"/>
                <w:tcMar>
                  <w:top w:w="100" w:type="dxa"/>
                  <w:left w:w="100" w:type="dxa"/>
                  <w:bottom w:w="100" w:type="dxa"/>
                  <w:right w:w="100" w:type="dxa"/>
                </w:tcMar>
              </w:tcPr>
              <w:p w14:paraId="73C8586F"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Arial" w:eastAsia="Arial" w:hAnsi="Arial" w:cs="Arial"/>
                    <w:sz w:val="20"/>
                    <w:szCs w:val="20"/>
                  </w:rPr>
                  <w:t>CTCGGAAATTCCCTTGCCCT</w:t>
                </w:r>
              </w:p>
            </w:tc>
          </w:tr>
          <w:tr w:rsidR="001469C4" w14:paraId="3C952C62" w14:textId="77777777">
            <w:tc>
              <w:tcPr>
                <w:tcW w:w="3120" w:type="dxa"/>
                <w:shd w:val="clear" w:color="auto" w:fill="auto"/>
                <w:tcMar>
                  <w:top w:w="100" w:type="dxa"/>
                  <w:left w:w="100" w:type="dxa"/>
                  <w:bottom w:w="100" w:type="dxa"/>
                  <w:right w:w="100" w:type="dxa"/>
                </w:tcMar>
              </w:tcPr>
              <w:p w14:paraId="53DA02ED"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c-MYC</w:t>
                </w:r>
              </w:p>
            </w:tc>
            <w:tc>
              <w:tcPr>
                <w:tcW w:w="3120" w:type="dxa"/>
                <w:shd w:val="clear" w:color="auto" w:fill="auto"/>
                <w:tcMar>
                  <w:top w:w="100" w:type="dxa"/>
                  <w:left w:w="100" w:type="dxa"/>
                  <w:bottom w:w="100" w:type="dxa"/>
                  <w:right w:w="100" w:type="dxa"/>
                </w:tcMar>
              </w:tcPr>
              <w:p w14:paraId="6DAF2F3D" w14:textId="77777777" w:rsidR="001469C4" w:rsidRDefault="00802A6C">
                <w:pPr>
                  <w:widowControl w:val="0"/>
                  <w:spacing w:after="0" w:line="240" w:lineRule="auto"/>
                  <w:rPr>
                    <w:rFonts w:ascii="Times New Roman" w:eastAsia="Times New Roman" w:hAnsi="Times New Roman" w:cs="Times New Roman"/>
                    <w:sz w:val="24"/>
                    <w:szCs w:val="24"/>
                  </w:rPr>
                </w:pPr>
                <w:r>
                  <w:rPr>
                    <w:rFonts w:ascii="Arial" w:eastAsia="Arial" w:hAnsi="Arial" w:cs="Arial"/>
                    <w:sz w:val="20"/>
                    <w:szCs w:val="20"/>
                  </w:rPr>
                  <w:t>AATCCGTGATGAGCGCAAAC</w:t>
                </w:r>
              </w:p>
            </w:tc>
            <w:tc>
              <w:tcPr>
                <w:tcW w:w="3120" w:type="dxa"/>
                <w:shd w:val="clear" w:color="auto" w:fill="auto"/>
                <w:tcMar>
                  <w:top w:w="100" w:type="dxa"/>
                  <w:left w:w="100" w:type="dxa"/>
                  <w:bottom w:w="100" w:type="dxa"/>
                  <w:right w:w="100" w:type="dxa"/>
                </w:tcMar>
              </w:tcPr>
              <w:p w14:paraId="74B41BA3" w14:textId="77777777" w:rsidR="001469C4" w:rsidRDefault="00802A6C">
                <w:pPr>
                  <w:widowControl w:val="0"/>
                  <w:spacing w:after="0" w:line="240" w:lineRule="auto"/>
                  <w:rPr>
                    <w:rFonts w:ascii="Times New Roman" w:eastAsia="Times New Roman" w:hAnsi="Times New Roman" w:cs="Times New Roman"/>
                    <w:sz w:val="24"/>
                    <w:szCs w:val="24"/>
                  </w:rPr>
                </w:pPr>
                <w:r>
                  <w:rPr>
                    <w:rFonts w:ascii="Arial" w:eastAsia="Arial" w:hAnsi="Arial" w:cs="Arial"/>
                    <w:sz w:val="20"/>
                    <w:szCs w:val="20"/>
                  </w:rPr>
                  <w:t>CTTGCTTGTGGCGCATGTTGT</w:t>
                </w:r>
              </w:p>
            </w:tc>
          </w:tr>
          <w:tr w:rsidR="001469C4" w14:paraId="6531F64A" w14:textId="77777777">
            <w:tc>
              <w:tcPr>
                <w:tcW w:w="3120" w:type="dxa"/>
                <w:shd w:val="clear" w:color="auto" w:fill="auto"/>
                <w:tcMar>
                  <w:top w:w="100" w:type="dxa"/>
                  <w:left w:w="100" w:type="dxa"/>
                  <w:bottom w:w="100" w:type="dxa"/>
                  <w:right w:w="100" w:type="dxa"/>
                </w:tcMar>
              </w:tcPr>
              <w:p w14:paraId="41D4824B"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mTOR</w:t>
                </w:r>
              </w:p>
            </w:tc>
            <w:tc>
              <w:tcPr>
                <w:tcW w:w="3120" w:type="dxa"/>
                <w:shd w:val="clear" w:color="auto" w:fill="auto"/>
                <w:tcMar>
                  <w:top w:w="100" w:type="dxa"/>
                  <w:left w:w="100" w:type="dxa"/>
                  <w:bottom w:w="100" w:type="dxa"/>
                  <w:right w:w="100" w:type="dxa"/>
                </w:tcMar>
              </w:tcPr>
              <w:p w14:paraId="10975728"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Arial" w:eastAsia="Arial" w:hAnsi="Arial" w:cs="Arial"/>
                    <w:sz w:val="20"/>
                    <w:szCs w:val="20"/>
                  </w:rPr>
                  <w:t>GAGAGACAAGAGTACCGCCG</w:t>
                </w:r>
              </w:p>
            </w:tc>
            <w:tc>
              <w:tcPr>
                <w:tcW w:w="3120" w:type="dxa"/>
                <w:shd w:val="clear" w:color="auto" w:fill="auto"/>
                <w:tcMar>
                  <w:top w:w="100" w:type="dxa"/>
                  <w:left w:w="100" w:type="dxa"/>
                  <w:bottom w:w="100" w:type="dxa"/>
                  <w:right w:w="100" w:type="dxa"/>
                </w:tcMar>
              </w:tcPr>
              <w:p w14:paraId="18F76031"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Arial" w:eastAsia="Arial" w:hAnsi="Arial" w:cs="Arial"/>
                    <w:sz w:val="20"/>
                    <w:szCs w:val="20"/>
                  </w:rPr>
                  <w:t>AGTACGTTGTGCTGGCTCG</w:t>
                </w:r>
              </w:p>
            </w:tc>
          </w:tr>
          <w:tr w:rsidR="001469C4" w14:paraId="567A9FE7" w14:textId="77777777">
            <w:tc>
              <w:tcPr>
                <w:tcW w:w="3120" w:type="dxa"/>
                <w:shd w:val="clear" w:color="auto" w:fill="auto"/>
                <w:tcMar>
                  <w:top w:w="100" w:type="dxa"/>
                  <w:left w:w="100" w:type="dxa"/>
                  <w:bottom w:w="100" w:type="dxa"/>
                  <w:right w:w="100" w:type="dxa"/>
                </w:tcMar>
              </w:tcPr>
              <w:p w14:paraId="48C26174"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CDKN1A (dap)</w:t>
                </w:r>
              </w:p>
            </w:tc>
            <w:tc>
              <w:tcPr>
                <w:tcW w:w="3120" w:type="dxa"/>
                <w:shd w:val="clear" w:color="auto" w:fill="auto"/>
                <w:tcMar>
                  <w:top w:w="100" w:type="dxa"/>
                  <w:left w:w="100" w:type="dxa"/>
                  <w:bottom w:w="100" w:type="dxa"/>
                  <w:right w:w="100" w:type="dxa"/>
                </w:tcMar>
              </w:tcPr>
              <w:p w14:paraId="6421808C"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Arial" w:eastAsia="Arial" w:hAnsi="Arial" w:cs="Arial"/>
                    <w:sz w:val="20"/>
                    <w:szCs w:val="20"/>
                  </w:rPr>
                  <w:t>GTGCGCTCATAGCCGAAAAG</w:t>
                </w:r>
              </w:p>
            </w:tc>
            <w:tc>
              <w:tcPr>
                <w:tcW w:w="3120" w:type="dxa"/>
                <w:shd w:val="clear" w:color="auto" w:fill="auto"/>
                <w:tcMar>
                  <w:top w:w="100" w:type="dxa"/>
                  <w:left w:w="100" w:type="dxa"/>
                  <w:bottom w:w="100" w:type="dxa"/>
                  <w:right w:w="100" w:type="dxa"/>
                </w:tcMar>
              </w:tcPr>
              <w:p w14:paraId="744D59CA"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Arial" w:eastAsia="Arial" w:hAnsi="Arial" w:cs="Arial"/>
                    <w:sz w:val="20"/>
                    <w:szCs w:val="20"/>
                  </w:rPr>
                  <w:t>CGCCAAAGCGAACTGTCAAA</w:t>
                </w:r>
              </w:p>
            </w:tc>
          </w:tr>
          <w:tr w:rsidR="001469C4" w14:paraId="199338C4" w14:textId="77777777">
            <w:tc>
              <w:tcPr>
                <w:tcW w:w="3120" w:type="dxa"/>
                <w:shd w:val="clear" w:color="auto" w:fill="auto"/>
                <w:tcMar>
                  <w:top w:w="100" w:type="dxa"/>
                  <w:left w:w="100" w:type="dxa"/>
                  <w:bottom w:w="100" w:type="dxa"/>
                  <w:right w:w="100" w:type="dxa"/>
                </w:tcMar>
              </w:tcPr>
              <w:p w14:paraId="39555522"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CASP9 (dronc)</w:t>
                </w:r>
              </w:p>
            </w:tc>
            <w:tc>
              <w:tcPr>
                <w:tcW w:w="3120" w:type="dxa"/>
                <w:shd w:val="clear" w:color="auto" w:fill="auto"/>
                <w:tcMar>
                  <w:top w:w="100" w:type="dxa"/>
                  <w:left w:w="100" w:type="dxa"/>
                  <w:bottom w:w="100" w:type="dxa"/>
                  <w:right w:w="100" w:type="dxa"/>
                </w:tcMar>
              </w:tcPr>
              <w:p w14:paraId="19AFC8A1"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Arial" w:eastAsia="Arial" w:hAnsi="Arial" w:cs="Arial"/>
                    <w:sz w:val="20"/>
                    <w:szCs w:val="20"/>
                  </w:rPr>
                  <w:t>ACGACGACAACAACAAAGCG</w:t>
                </w:r>
              </w:p>
            </w:tc>
            <w:tc>
              <w:tcPr>
                <w:tcW w:w="3120" w:type="dxa"/>
                <w:shd w:val="clear" w:color="auto" w:fill="auto"/>
                <w:tcMar>
                  <w:top w:w="100" w:type="dxa"/>
                  <w:left w:w="100" w:type="dxa"/>
                  <w:bottom w:w="100" w:type="dxa"/>
                  <w:right w:w="100" w:type="dxa"/>
                </w:tcMar>
              </w:tcPr>
              <w:p w14:paraId="07B082B6"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Arial" w:eastAsia="Arial" w:hAnsi="Arial" w:cs="Arial"/>
                    <w:sz w:val="20"/>
                    <w:szCs w:val="20"/>
                  </w:rPr>
                  <w:t>TACGACGAGGAGGTCACCAT</w:t>
                </w:r>
              </w:p>
            </w:tc>
          </w:tr>
          <w:tr w:rsidR="001469C4" w14:paraId="039DA242" w14:textId="77777777">
            <w:tc>
              <w:tcPr>
                <w:tcW w:w="3120" w:type="dxa"/>
                <w:shd w:val="clear" w:color="auto" w:fill="auto"/>
                <w:tcMar>
                  <w:top w:w="100" w:type="dxa"/>
                  <w:left w:w="100" w:type="dxa"/>
                  <w:bottom w:w="100" w:type="dxa"/>
                  <w:right w:w="100" w:type="dxa"/>
                </w:tcMar>
              </w:tcPr>
              <w:p w14:paraId="3FF576F8"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CASP3 (drice)</w:t>
                </w:r>
              </w:p>
            </w:tc>
            <w:tc>
              <w:tcPr>
                <w:tcW w:w="3120" w:type="dxa"/>
                <w:shd w:val="clear" w:color="auto" w:fill="auto"/>
                <w:tcMar>
                  <w:top w:w="100" w:type="dxa"/>
                  <w:left w:w="100" w:type="dxa"/>
                  <w:bottom w:w="100" w:type="dxa"/>
                  <w:right w:w="100" w:type="dxa"/>
                </w:tcMar>
              </w:tcPr>
              <w:p w14:paraId="46E1D1AC"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Arial" w:eastAsia="Arial" w:hAnsi="Arial" w:cs="Arial"/>
                    <w:sz w:val="20"/>
                    <w:szCs w:val="20"/>
                  </w:rPr>
                  <w:t>TCGCAGTGCTTGTGACTCAT</w:t>
                </w:r>
              </w:p>
            </w:tc>
            <w:tc>
              <w:tcPr>
                <w:tcW w:w="3120" w:type="dxa"/>
                <w:shd w:val="clear" w:color="auto" w:fill="auto"/>
                <w:tcMar>
                  <w:top w:w="100" w:type="dxa"/>
                  <w:left w:w="100" w:type="dxa"/>
                  <w:bottom w:w="100" w:type="dxa"/>
                  <w:right w:w="100" w:type="dxa"/>
                </w:tcMar>
              </w:tcPr>
              <w:p w14:paraId="60359B8F"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Arial" w:eastAsia="Arial" w:hAnsi="Arial" w:cs="Arial"/>
                    <w:sz w:val="20"/>
                    <w:szCs w:val="20"/>
                  </w:rPr>
                  <w:t>GTTCTTGTGGCGCATGTTGT</w:t>
                </w:r>
              </w:p>
            </w:tc>
          </w:tr>
          <w:tr w:rsidR="001469C4" w14:paraId="20086712" w14:textId="77777777">
            <w:tc>
              <w:tcPr>
                <w:tcW w:w="3120" w:type="dxa"/>
                <w:shd w:val="clear" w:color="auto" w:fill="auto"/>
                <w:tcMar>
                  <w:top w:w="100" w:type="dxa"/>
                  <w:left w:w="100" w:type="dxa"/>
                  <w:bottom w:w="100" w:type="dxa"/>
                  <w:right w:w="100" w:type="dxa"/>
                </w:tcMar>
              </w:tcPr>
              <w:p w14:paraId="51666144"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BCL2 (buffy)</w:t>
                </w:r>
              </w:p>
            </w:tc>
            <w:tc>
              <w:tcPr>
                <w:tcW w:w="3120" w:type="dxa"/>
                <w:shd w:val="clear" w:color="auto" w:fill="auto"/>
                <w:tcMar>
                  <w:top w:w="100" w:type="dxa"/>
                  <w:left w:w="100" w:type="dxa"/>
                  <w:bottom w:w="100" w:type="dxa"/>
                  <w:right w:w="100" w:type="dxa"/>
                </w:tcMar>
              </w:tcPr>
              <w:p w14:paraId="5FAE5CBF"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Arial" w:eastAsia="Arial" w:hAnsi="Arial" w:cs="Arial"/>
                    <w:sz w:val="20"/>
                    <w:szCs w:val="20"/>
                  </w:rPr>
                  <w:t>ATACTGGGCTCCACCTCCAT</w:t>
                </w:r>
              </w:p>
            </w:tc>
            <w:tc>
              <w:tcPr>
                <w:tcW w:w="3120" w:type="dxa"/>
                <w:shd w:val="clear" w:color="auto" w:fill="auto"/>
                <w:tcMar>
                  <w:top w:w="100" w:type="dxa"/>
                  <w:left w:w="100" w:type="dxa"/>
                  <w:bottom w:w="100" w:type="dxa"/>
                  <w:right w:w="100" w:type="dxa"/>
                </w:tcMar>
              </w:tcPr>
              <w:p w14:paraId="3F28EC92"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Arial" w:eastAsia="Arial" w:hAnsi="Arial" w:cs="Arial"/>
                    <w:sz w:val="20"/>
                    <w:szCs w:val="20"/>
                  </w:rPr>
                  <w:t>TGGCGTACACAATCAACGGA</w:t>
                </w:r>
              </w:p>
            </w:tc>
          </w:tr>
          <w:tr w:rsidR="001469C4" w14:paraId="1D26205A" w14:textId="77777777">
            <w:tc>
              <w:tcPr>
                <w:tcW w:w="3120" w:type="dxa"/>
                <w:shd w:val="clear" w:color="auto" w:fill="auto"/>
                <w:tcMar>
                  <w:top w:w="100" w:type="dxa"/>
                  <w:left w:w="100" w:type="dxa"/>
                  <w:bottom w:w="100" w:type="dxa"/>
                  <w:right w:w="100" w:type="dxa"/>
                </w:tcMar>
              </w:tcPr>
              <w:p w14:paraId="7D66E2B2"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AKT1</w:t>
                </w:r>
              </w:p>
            </w:tc>
            <w:tc>
              <w:tcPr>
                <w:tcW w:w="3120" w:type="dxa"/>
                <w:shd w:val="clear" w:color="auto" w:fill="auto"/>
                <w:tcMar>
                  <w:top w:w="100" w:type="dxa"/>
                  <w:left w:w="100" w:type="dxa"/>
                  <w:bottom w:w="100" w:type="dxa"/>
                  <w:right w:w="100" w:type="dxa"/>
                </w:tcMar>
              </w:tcPr>
              <w:p w14:paraId="6F13B99A" w14:textId="77777777" w:rsidR="001469C4" w:rsidRDefault="00802A6C">
                <w:pPr>
                  <w:widowControl w:val="0"/>
                  <w:spacing w:after="0" w:line="240" w:lineRule="auto"/>
                  <w:rPr>
                    <w:rFonts w:ascii="Times New Roman" w:eastAsia="Times New Roman" w:hAnsi="Times New Roman" w:cs="Times New Roman"/>
                    <w:sz w:val="24"/>
                    <w:szCs w:val="24"/>
                  </w:rPr>
                </w:pPr>
                <w:r>
                  <w:rPr>
                    <w:rFonts w:ascii="Arial" w:eastAsia="Arial" w:hAnsi="Arial" w:cs="Arial"/>
                    <w:sz w:val="20"/>
                    <w:szCs w:val="20"/>
                  </w:rPr>
                  <w:t>TTGTGACTCATATACTGGG</w:t>
                </w:r>
              </w:p>
            </w:tc>
            <w:tc>
              <w:tcPr>
                <w:tcW w:w="3120" w:type="dxa"/>
                <w:shd w:val="clear" w:color="auto" w:fill="auto"/>
                <w:tcMar>
                  <w:top w:w="100" w:type="dxa"/>
                  <w:left w:w="100" w:type="dxa"/>
                  <w:bottom w:w="100" w:type="dxa"/>
                  <w:right w:w="100" w:type="dxa"/>
                </w:tcMar>
              </w:tcPr>
              <w:p w14:paraId="62C43B5C" w14:textId="77777777" w:rsidR="001469C4" w:rsidRDefault="00802A6C">
                <w:pPr>
                  <w:widowControl w:val="0"/>
                  <w:spacing w:after="0" w:line="240" w:lineRule="auto"/>
                  <w:rPr>
                    <w:rFonts w:ascii="Times New Roman" w:eastAsia="Times New Roman" w:hAnsi="Times New Roman" w:cs="Times New Roman"/>
                    <w:sz w:val="24"/>
                    <w:szCs w:val="24"/>
                  </w:rPr>
                </w:pPr>
                <w:r>
                  <w:rPr>
                    <w:rFonts w:ascii="Arial" w:eastAsia="Arial" w:hAnsi="Arial" w:cs="Arial"/>
                    <w:sz w:val="20"/>
                    <w:szCs w:val="20"/>
                  </w:rPr>
                  <w:t>GTTCGTTGTGCTGGCTCG</w:t>
                </w:r>
              </w:p>
            </w:tc>
          </w:tr>
          <w:tr w:rsidR="001469C4" w14:paraId="4DC055C5" w14:textId="77777777">
            <w:tc>
              <w:tcPr>
                <w:tcW w:w="3120" w:type="dxa"/>
                <w:shd w:val="clear" w:color="auto" w:fill="auto"/>
                <w:tcMar>
                  <w:top w:w="100" w:type="dxa"/>
                  <w:left w:w="100" w:type="dxa"/>
                  <w:bottom w:w="100" w:type="dxa"/>
                  <w:right w:w="100" w:type="dxa"/>
                </w:tcMar>
              </w:tcPr>
              <w:p w14:paraId="5AB3CDB2"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GAPDH</w:t>
                </w:r>
              </w:p>
            </w:tc>
            <w:tc>
              <w:tcPr>
                <w:tcW w:w="3120" w:type="dxa"/>
                <w:shd w:val="clear" w:color="auto" w:fill="auto"/>
                <w:tcMar>
                  <w:top w:w="100" w:type="dxa"/>
                  <w:left w:w="100" w:type="dxa"/>
                  <w:bottom w:w="100" w:type="dxa"/>
                  <w:right w:w="100" w:type="dxa"/>
                </w:tcMar>
              </w:tcPr>
              <w:p w14:paraId="3EE71DED"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Arial" w:eastAsia="Arial" w:hAnsi="Arial" w:cs="Arial"/>
                    <w:sz w:val="20"/>
                    <w:szCs w:val="20"/>
                  </w:rPr>
                  <w:t>CATTGATAAGGGCGCCAACG</w:t>
                </w:r>
              </w:p>
            </w:tc>
            <w:tc>
              <w:tcPr>
                <w:tcW w:w="3120" w:type="dxa"/>
                <w:shd w:val="clear" w:color="auto" w:fill="auto"/>
                <w:tcMar>
                  <w:top w:w="100" w:type="dxa"/>
                  <w:left w:w="100" w:type="dxa"/>
                  <w:bottom w:w="100" w:type="dxa"/>
                  <w:right w:w="100" w:type="dxa"/>
                </w:tcMar>
              </w:tcPr>
              <w:p w14:paraId="4373D507" w14:textId="77777777" w:rsidR="001469C4" w:rsidRDefault="00802A6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Arial" w:eastAsia="Arial" w:hAnsi="Arial" w:cs="Arial"/>
                    <w:sz w:val="20"/>
                    <w:szCs w:val="20"/>
                  </w:rPr>
                  <w:t>GCTCCAGTGGAAGCTGGAAT</w:t>
                </w:r>
              </w:p>
            </w:tc>
          </w:tr>
        </w:tbl>
      </w:sdtContent>
    </w:sdt>
    <w:p w14:paraId="66A73371" w14:textId="77777777" w:rsidR="001469C4" w:rsidRDefault="001469C4">
      <w:pPr>
        <w:spacing w:line="480" w:lineRule="auto"/>
        <w:jc w:val="center"/>
        <w:rPr>
          <w:rFonts w:ascii="Times New Roman" w:eastAsia="Times New Roman" w:hAnsi="Times New Roman" w:cs="Times New Roman"/>
          <w:b/>
          <w:bCs/>
          <w:sz w:val="24"/>
          <w:szCs w:val="24"/>
        </w:rPr>
      </w:pPr>
    </w:p>
    <w:p w14:paraId="376D5DD4" w14:textId="77777777" w:rsidR="001469C4" w:rsidRDefault="00802A6C">
      <w:pPr>
        <w:spacing w:line="480" w:lineRule="auto"/>
        <w:jc w:val="center"/>
        <w:rPr>
          <w:rFonts w:ascii="Times New Roman" w:eastAsia="Times New Roman" w:hAnsi="Times New Roman" w:cs="Times New Roman"/>
          <w:b/>
          <w:bCs/>
          <w:sz w:val="24"/>
          <w:szCs w:val="24"/>
        </w:rPr>
      </w:pPr>
      <w:r>
        <w:br w:type="page"/>
      </w:r>
    </w:p>
    <w:p w14:paraId="79B55771" w14:textId="77777777" w:rsidR="001469C4" w:rsidRDefault="00802A6C" w:rsidP="00940A17">
      <w:pPr>
        <w:pStyle w:val="Heading7"/>
        <w:rPr>
          <w:rFonts w:eastAsia="Times New Roman"/>
        </w:rPr>
      </w:pPr>
      <w:r>
        <w:rPr>
          <w:rFonts w:eastAsia="Times New Roman"/>
        </w:rPr>
        <w:lastRenderedPageBreak/>
        <w:t>CHAPTER FOUR</w:t>
      </w:r>
    </w:p>
    <w:p w14:paraId="3CE88A8E" w14:textId="477E926C" w:rsidR="001469C4" w:rsidRDefault="007A2431" w:rsidP="007A2431">
      <w:pPr>
        <w:pStyle w:val="Heading7"/>
        <w:jc w:val="left"/>
        <w:rPr>
          <w:rFonts w:eastAsia="Times New Roman"/>
        </w:rPr>
      </w:pPr>
      <w:r>
        <w:rPr>
          <w:rFonts w:eastAsia="Times New Roman"/>
        </w:rPr>
        <w:t>4.0</w:t>
      </w:r>
      <w:r>
        <w:rPr>
          <w:rFonts w:eastAsia="Times New Roman"/>
        </w:rPr>
        <w:tab/>
      </w:r>
      <w:r>
        <w:rPr>
          <w:rFonts w:eastAsia="Times New Roman"/>
        </w:rPr>
        <w:tab/>
      </w:r>
      <w:r>
        <w:rPr>
          <w:rFonts w:eastAsia="Times New Roman"/>
        </w:rPr>
        <w:tab/>
      </w:r>
      <w:r>
        <w:rPr>
          <w:rFonts w:eastAsia="Times New Roman"/>
        </w:rPr>
        <w:tab/>
        <w:t xml:space="preserve">    </w:t>
      </w:r>
      <w:r w:rsidR="00802A6C">
        <w:rPr>
          <w:rFonts w:eastAsia="Times New Roman"/>
        </w:rPr>
        <w:t>RESULTS AND DISCUSSION</w:t>
      </w:r>
    </w:p>
    <w:p w14:paraId="401830D8" w14:textId="0697FD51" w:rsidR="001469C4" w:rsidRDefault="00802A6C" w:rsidP="00940A17">
      <w:pPr>
        <w:pStyle w:val="Heading8"/>
        <w:rPr>
          <w:rFonts w:eastAsia="Times New Roman"/>
        </w:rPr>
      </w:pPr>
      <w:r>
        <w:rPr>
          <w:rFonts w:eastAsia="Times New Roman"/>
        </w:rPr>
        <w:t>4.1</w:t>
      </w:r>
      <w:r>
        <w:rPr>
          <w:rFonts w:eastAsia="Times New Roman"/>
        </w:rPr>
        <w:tab/>
      </w:r>
      <w:r w:rsidR="00D31750">
        <w:rPr>
          <w:rFonts w:eastAsia="Times New Roman"/>
        </w:rPr>
        <w:t>Network pharmacology, molecular docking, and molecular dynamic simulation</w:t>
      </w:r>
      <w:r>
        <w:rPr>
          <w:rFonts w:eastAsia="Times New Roman"/>
        </w:rPr>
        <w:t xml:space="preserve"> </w:t>
      </w:r>
    </w:p>
    <w:p w14:paraId="05997309" w14:textId="77777777" w:rsidR="003671F4" w:rsidRPr="003671F4" w:rsidRDefault="003671F4">
      <w:pPr>
        <w:spacing w:line="480" w:lineRule="auto"/>
        <w:jc w:val="both"/>
        <w:rPr>
          <w:rFonts w:ascii="Times New Roman" w:hAnsi="Times New Roman" w:cs="Times New Roman"/>
          <w:sz w:val="24"/>
          <w:szCs w:val="24"/>
        </w:rPr>
      </w:pPr>
      <w:r w:rsidRPr="003671F4">
        <w:rPr>
          <w:rFonts w:ascii="Times New Roman" w:hAnsi="Times New Roman" w:cs="Times New Roman"/>
          <w:sz w:val="24"/>
          <w:szCs w:val="24"/>
        </w:rPr>
        <w:t>The results from network pharmacology and molecular docking and molecular dynamic analysis are presented here. The overlap between the targets associated with luteolin and genes related to CRC is illustrated in Figure 4.1, which is a Venn diagram. Thirty-seven common targets were identified, suggesting that the therapeutic activity of luteolin is not likely to occur through a single molecular target. Instead, its activity could be attributed to its ability to modulate various conserved biological targets and pathways involved in CRC pathogenesis.</w:t>
      </w:r>
    </w:p>
    <w:p w14:paraId="192D7346" w14:textId="6ADECCED" w:rsidR="006246CA" w:rsidRDefault="00731D89">
      <w:pPr>
        <w:spacing w:line="480" w:lineRule="auto"/>
        <w:jc w:val="both"/>
        <w:rPr>
          <w:rFonts w:ascii="Times New Roman" w:eastAsia="Times New Roman" w:hAnsi="Times New Roman" w:cs="Times New Roman"/>
          <w:sz w:val="24"/>
          <w:szCs w:val="24"/>
        </w:rPr>
      </w:pPr>
      <w:r w:rsidRPr="00731D89">
        <w:rPr>
          <w:rFonts w:ascii="Times New Roman" w:hAnsi="Times New Roman" w:cs="Times New Roman"/>
          <w:sz w:val="24"/>
          <w:szCs w:val="24"/>
        </w:rPr>
        <w:t>Figure 4.2 is a</w:t>
      </w:r>
      <w:r>
        <w:t xml:space="preserve"> </w:t>
      </w:r>
      <w:r w:rsidRPr="00731D89">
        <w:rPr>
          <w:rFonts w:ascii="Times New Roman" w:eastAsia="Times New Roman" w:hAnsi="Times New Roman" w:cs="Times New Roman"/>
          <w:sz w:val="24"/>
          <w:szCs w:val="24"/>
        </w:rPr>
        <w:t xml:space="preserve">KEGG pathway </w:t>
      </w:r>
      <w:r>
        <w:rPr>
          <w:rFonts w:ascii="Times New Roman" w:eastAsia="Times New Roman" w:hAnsi="Times New Roman" w:cs="Times New Roman"/>
          <w:sz w:val="24"/>
          <w:szCs w:val="24"/>
        </w:rPr>
        <w:t xml:space="preserve">showing </w:t>
      </w:r>
      <w:r w:rsidRPr="00731D89">
        <w:rPr>
          <w:rFonts w:ascii="Times New Roman" w:eastAsia="Times New Roman" w:hAnsi="Times New Roman" w:cs="Times New Roman"/>
          <w:sz w:val="24"/>
          <w:szCs w:val="24"/>
        </w:rPr>
        <w:t xml:space="preserve">that luteolin targets multiple </w:t>
      </w:r>
      <w:r>
        <w:rPr>
          <w:rFonts w:ascii="Times New Roman" w:eastAsia="Times New Roman" w:hAnsi="Times New Roman" w:cs="Times New Roman"/>
          <w:sz w:val="24"/>
          <w:szCs w:val="24"/>
        </w:rPr>
        <w:t xml:space="preserve">CRC </w:t>
      </w:r>
      <w:r w:rsidRPr="00731D89">
        <w:rPr>
          <w:rFonts w:ascii="Times New Roman" w:eastAsia="Times New Roman" w:hAnsi="Times New Roman" w:cs="Times New Roman"/>
          <w:sz w:val="24"/>
          <w:szCs w:val="24"/>
        </w:rPr>
        <w:t>pathways, including Wnt/β-catenin, PI3K/Akt, MAPK, p53, and apoptosis signaling. It modulates key genes (TP53, AKT1, MYC, BCL2, CASP3), suppressing proliferation, enhancing apoptosis, and inhibiting tumor progression</w:t>
      </w:r>
      <w:r w:rsidR="006246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32757638" w14:textId="4E2704D9" w:rsidR="00817641" w:rsidRDefault="006246CA">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4.3 shows a PPI network of luteolin-CRC intersection. The analysis </w:t>
      </w:r>
      <w:r w:rsidRPr="006246CA">
        <w:rPr>
          <w:rFonts w:ascii="Times New Roman" w:eastAsia="Times New Roman" w:hAnsi="Times New Roman" w:cs="Times New Roman"/>
          <w:sz w:val="24"/>
          <w:szCs w:val="24"/>
        </w:rPr>
        <w:t xml:space="preserve">identified TP53, AKT1, MYC, MTOR, BCL2, CASP3, EGFR, KRAS, and CCND1 as highly interconnected hub genes, </w:t>
      </w:r>
      <w:r>
        <w:rPr>
          <w:rFonts w:ascii="Times New Roman" w:eastAsia="Times New Roman" w:hAnsi="Times New Roman" w:cs="Times New Roman"/>
          <w:sz w:val="24"/>
          <w:szCs w:val="24"/>
        </w:rPr>
        <w:t xml:space="preserve">meaning luteolin’s </w:t>
      </w:r>
      <w:r w:rsidRPr="006246CA">
        <w:rPr>
          <w:rFonts w:ascii="Times New Roman" w:eastAsia="Times New Roman" w:hAnsi="Times New Roman" w:cs="Times New Roman"/>
          <w:sz w:val="24"/>
          <w:szCs w:val="24"/>
        </w:rPr>
        <w:t>anti-</w:t>
      </w:r>
      <w:r>
        <w:rPr>
          <w:rFonts w:ascii="Times New Roman" w:eastAsia="Times New Roman" w:hAnsi="Times New Roman" w:cs="Times New Roman"/>
          <w:sz w:val="24"/>
          <w:szCs w:val="24"/>
        </w:rPr>
        <w:t>CRC</w:t>
      </w:r>
      <w:r w:rsidRPr="006246CA">
        <w:rPr>
          <w:rFonts w:ascii="Times New Roman" w:eastAsia="Times New Roman" w:hAnsi="Times New Roman" w:cs="Times New Roman"/>
          <w:sz w:val="24"/>
          <w:szCs w:val="24"/>
        </w:rPr>
        <w:t xml:space="preserve"> effects </w:t>
      </w:r>
      <w:r>
        <w:rPr>
          <w:rFonts w:ascii="Times New Roman" w:eastAsia="Times New Roman" w:hAnsi="Times New Roman" w:cs="Times New Roman"/>
          <w:sz w:val="24"/>
          <w:szCs w:val="24"/>
        </w:rPr>
        <w:t xml:space="preserve">is a </w:t>
      </w:r>
      <w:r w:rsidRPr="006246CA">
        <w:rPr>
          <w:rFonts w:ascii="Times New Roman" w:eastAsia="Times New Roman" w:hAnsi="Times New Roman" w:cs="Times New Roman"/>
          <w:sz w:val="24"/>
          <w:szCs w:val="24"/>
        </w:rPr>
        <w:t>coordinated regulation of proliferation, apoptosis, survival, and cell-cycle pathways</w:t>
      </w:r>
      <w:r>
        <w:rPr>
          <w:rFonts w:ascii="Times New Roman" w:eastAsia="Times New Roman" w:hAnsi="Times New Roman" w:cs="Times New Roman"/>
          <w:sz w:val="24"/>
          <w:szCs w:val="24"/>
        </w:rPr>
        <w:t xml:space="preserve"> as also clarified in Figure 4.4. </w:t>
      </w:r>
      <w:r w:rsidR="00817641">
        <w:rPr>
          <w:rFonts w:ascii="Times New Roman" w:eastAsia="Times New Roman" w:hAnsi="Times New Roman" w:cs="Times New Roman"/>
          <w:sz w:val="24"/>
          <w:szCs w:val="24"/>
        </w:rPr>
        <w:t xml:space="preserve">Figure 4.5 shows GO </w:t>
      </w:r>
      <w:r w:rsidR="00817641" w:rsidRPr="00817641">
        <w:rPr>
          <w:rFonts w:ascii="Times New Roman" w:eastAsia="Times New Roman" w:hAnsi="Times New Roman" w:cs="Times New Roman"/>
          <w:sz w:val="24"/>
          <w:szCs w:val="24"/>
        </w:rPr>
        <w:t xml:space="preserve">molecular function analysis </w:t>
      </w:r>
      <w:r w:rsidR="00817641">
        <w:rPr>
          <w:rFonts w:ascii="Times New Roman" w:eastAsia="Times New Roman" w:hAnsi="Times New Roman" w:cs="Times New Roman"/>
          <w:sz w:val="24"/>
          <w:szCs w:val="24"/>
        </w:rPr>
        <w:t xml:space="preserve">– showing </w:t>
      </w:r>
      <w:r w:rsidR="00817641" w:rsidRPr="00817641">
        <w:rPr>
          <w:rFonts w:ascii="Times New Roman" w:eastAsia="Times New Roman" w:hAnsi="Times New Roman" w:cs="Times New Roman"/>
          <w:sz w:val="24"/>
          <w:szCs w:val="24"/>
        </w:rPr>
        <w:t xml:space="preserve">luteolin targets are </w:t>
      </w:r>
      <w:r w:rsidR="00817641">
        <w:rPr>
          <w:rFonts w:ascii="Times New Roman" w:eastAsia="Times New Roman" w:hAnsi="Times New Roman" w:cs="Times New Roman"/>
          <w:sz w:val="24"/>
          <w:szCs w:val="24"/>
        </w:rPr>
        <w:t>mainl</w:t>
      </w:r>
      <w:r w:rsidR="00817641" w:rsidRPr="00817641">
        <w:rPr>
          <w:rFonts w:ascii="Times New Roman" w:eastAsia="Times New Roman" w:hAnsi="Times New Roman" w:cs="Times New Roman"/>
          <w:sz w:val="24"/>
          <w:szCs w:val="24"/>
        </w:rPr>
        <w:t>y involved in kinase activity, phosphatase binding, transcription factor interactions, and</w:t>
      </w:r>
      <w:r w:rsidR="00817641">
        <w:rPr>
          <w:rFonts w:ascii="Times New Roman" w:eastAsia="Times New Roman" w:hAnsi="Times New Roman" w:cs="Times New Roman"/>
          <w:sz w:val="24"/>
          <w:szCs w:val="24"/>
        </w:rPr>
        <w:t xml:space="preserve"> ubiquitin-mediated regulation. Also, </w:t>
      </w:r>
      <w:r w:rsidR="00817641" w:rsidRPr="00817641">
        <w:rPr>
          <w:rFonts w:ascii="Times New Roman" w:eastAsia="Times New Roman" w:hAnsi="Times New Roman" w:cs="Times New Roman"/>
          <w:sz w:val="24"/>
          <w:szCs w:val="24"/>
        </w:rPr>
        <w:t>pathway enrichment analysis</w:t>
      </w:r>
      <w:r w:rsidR="00817641">
        <w:rPr>
          <w:rFonts w:ascii="Times New Roman" w:eastAsia="Times New Roman" w:hAnsi="Times New Roman" w:cs="Times New Roman"/>
          <w:sz w:val="24"/>
          <w:szCs w:val="24"/>
        </w:rPr>
        <w:t xml:space="preserve"> (Figure 4.6)</w:t>
      </w:r>
      <w:r w:rsidR="00817641" w:rsidRPr="00817641">
        <w:rPr>
          <w:rFonts w:ascii="Times New Roman" w:eastAsia="Times New Roman" w:hAnsi="Times New Roman" w:cs="Times New Roman"/>
          <w:sz w:val="24"/>
          <w:szCs w:val="24"/>
        </w:rPr>
        <w:t xml:space="preserve"> identified colorectal cancer as the most significantly enriched pathway, suggesting luteolin modulates shared oncogenic pathways involved in tumor growth, survival, and progression</w:t>
      </w:r>
      <w:r w:rsidR="00817641">
        <w:rPr>
          <w:rFonts w:ascii="Times New Roman" w:eastAsia="Times New Roman" w:hAnsi="Times New Roman" w:cs="Times New Roman"/>
          <w:sz w:val="24"/>
          <w:szCs w:val="24"/>
        </w:rPr>
        <w:t>.</w:t>
      </w:r>
    </w:p>
    <w:p w14:paraId="2515B50A" w14:textId="1D9CE2C4" w:rsidR="00CF0D02" w:rsidRDefault="0081764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Table 4.1 shows the </w:t>
      </w:r>
      <w:r w:rsidR="00941B67">
        <w:rPr>
          <w:rFonts w:ascii="Times New Roman" w:eastAsia="Times New Roman" w:hAnsi="Times New Roman" w:cs="Times New Roman"/>
          <w:sz w:val="24"/>
          <w:szCs w:val="24"/>
        </w:rPr>
        <w:t xml:space="preserve">calculated binding energy (kcal/mol) that exist the top ten ranked luteolin targets in CRC. </w:t>
      </w:r>
      <w:r w:rsidR="00F53242">
        <w:rPr>
          <w:rFonts w:ascii="Times New Roman" w:eastAsia="Times New Roman" w:hAnsi="Times New Roman" w:cs="Times New Roman"/>
          <w:sz w:val="24"/>
          <w:szCs w:val="24"/>
        </w:rPr>
        <w:t xml:space="preserve">Biological molecules seek to exist at minimum energy possible, so the more negative the binding score, the more thermodynamically favorable the interaction is. Luteolin docked best with caspase 3 and evidenced by a binding energy of -9.761 kcal/mol. AKT1, mTOR also recorded favorable binding energy of -8.613, -7.92 respectively, demonstrating robust interaction between luteolin and the identified targets.  </w:t>
      </w:r>
      <w:r w:rsidR="00941B67">
        <w:rPr>
          <w:rFonts w:ascii="Times New Roman" w:eastAsia="Times New Roman" w:hAnsi="Times New Roman" w:cs="Times New Roman"/>
          <w:sz w:val="24"/>
          <w:szCs w:val="24"/>
        </w:rPr>
        <w:t>Also captured</w:t>
      </w:r>
      <w:r>
        <w:rPr>
          <w:rFonts w:ascii="Times New Roman" w:eastAsia="Times New Roman" w:hAnsi="Times New Roman" w:cs="Times New Roman"/>
          <w:sz w:val="24"/>
          <w:szCs w:val="24"/>
        </w:rPr>
        <w:t xml:space="preserve"> </w:t>
      </w:r>
      <w:r w:rsidR="00941B67">
        <w:rPr>
          <w:rFonts w:ascii="Times New Roman" w:eastAsia="Times New Roman" w:hAnsi="Times New Roman" w:cs="Times New Roman"/>
          <w:sz w:val="24"/>
          <w:szCs w:val="24"/>
        </w:rPr>
        <w:t xml:space="preserve">in the table is the complex (luteolin-target) stability of the docked entities. </w:t>
      </w:r>
      <w:r w:rsidR="00F53242">
        <w:rPr>
          <w:rFonts w:ascii="Times New Roman" w:eastAsia="Times New Roman" w:hAnsi="Times New Roman" w:cs="Times New Roman"/>
          <w:sz w:val="24"/>
          <w:szCs w:val="24"/>
        </w:rPr>
        <w:t xml:space="preserve">The grid box and its dimension were equally summarized in the table. </w:t>
      </w:r>
      <w:r w:rsidR="00941B67">
        <w:rPr>
          <w:rFonts w:ascii="Times New Roman" w:eastAsia="Times New Roman" w:hAnsi="Times New Roman" w:cs="Times New Roman"/>
          <w:sz w:val="24"/>
          <w:szCs w:val="24"/>
        </w:rPr>
        <w:t xml:space="preserve">Overall, the table showed luteolin interacted tightly with the targets and the complexes formed remained thermodynamically favourable throughout the period of docking simulation. </w:t>
      </w:r>
    </w:p>
    <w:p w14:paraId="2DC56193" w14:textId="6CFCAD58" w:rsidR="001469C4" w:rsidRDefault="00CF0D02">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 7</w:t>
      </w:r>
      <w:r w:rsidR="00941B6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shows </w:t>
      </w:r>
      <w:r w:rsidR="00827AB1">
        <w:rPr>
          <w:rFonts w:ascii="Times New Roman" w:eastAsia="Times New Roman" w:hAnsi="Times New Roman" w:cs="Times New Roman"/>
          <w:sz w:val="24"/>
          <w:szCs w:val="24"/>
        </w:rPr>
        <w:t xml:space="preserve">the RMSD plot for caspase 3-luteolin complex over a 100ns MD simulation. The convergence of the trajectory profile within 2-3 </w:t>
      </w:r>
      <w:r w:rsidR="00827AB1" w:rsidRPr="00827AB1">
        <w:rPr>
          <w:rFonts w:ascii="Times New Roman" w:hAnsi="Times New Roman" w:cs="Times New Roman"/>
          <w:sz w:val="24"/>
          <w:szCs w:val="24"/>
        </w:rPr>
        <w:t>Å shows that</w:t>
      </w:r>
      <w:r w:rsidR="00827AB1">
        <w:t xml:space="preserve"> </w:t>
      </w:r>
      <w:r w:rsidR="00827AB1">
        <w:rPr>
          <w:rFonts w:ascii="Times New Roman" w:hAnsi="Times New Roman" w:cs="Times New Roman"/>
          <w:sz w:val="24"/>
          <w:szCs w:val="24"/>
        </w:rPr>
        <w:t xml:space="preserve">luteolin maintains rigid and sustained interaction with the target. The same pattern was also observed for AKT1-luteolin complex (Figure 8) and mTOR-luteolin complex (Figure 9). The protein RMSF (showing positional or residual fluctuation) for caspase 3, AKT1, and mTOR were also presented in Figures 10, 11, and 12 respectively. The conformational change seen in this plots showed that the residues allowed for optimal binding of the ligand at the binding sites of the assessed targets. </w:t>
      </w:r>
      <w:r w:rsidR="00802A6C">
        <w:br w:type="page"/>
      </w:r>
    </w:p>
    <w:p w14:paraId="083D0286" w14:textId="77777777" w:rsidR="001469C4" w:rsidRDefault="00802A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0" distB="0" distL="0" distR="0" wp14:anchorId="4F29AD06" wp14:editId="0CDF9A72">
            <wp:extent cx="4652963" cy="3848100"/>
            <wp:effectExtent l="0" t="0" r="0" b="0"/>
            <wp:docPr id="14" name="image8.png" descr="C:\Users\US\Downloads\RESULT\luteolin-CRC-venn.png"/>
            <wp:cNvGraphicFramePr/>
            <a:graphic xmlns:a="http://schemas.openxmlformats.org/drawingml/2006/main">
              <a:graphicData uri="http://schemas.openxmlformats.org/drawingml/2006/picture">
                <pic:pic xmlns:pic="http://schemas.openxmlformats.org/drawingml/2006/picture">
                  <pic:nvPicPr>
                    <pic:cNvPr id="0" name="image8.png" descr="C:\Users\US\Downloads\RESULT\luteolin-CRC-venn.png"/>
                    <pic:cNvPicPr preferRelativeResize="0"/>
                  </pic:nvPicPr>
                  <pic:blipFill>
                    <a:blip r:embed="rId16"/>
                    <a:srcRect/>
                    <a:stretch>
                      <a:fillRect/>
                    </a:stretch>
                  </pic:blipFill>
                  <pic:spPr>
                    <a:xfrm>
                      <a:off x="0" y="0"/>
                      <a:ext cx="4652963" cy="3848100"/>
                    </a:xfrm>
                    <a:prstGeom prst="rect">
                      <a:avLst/>
                    </a:prstGeom>
                    <a:ln/>
                  </pic:spPr>
                </pic:pic>
              </a:graphicData>
            </a:graphic>
          </wp:inline>
        </w:drawing>
      </w:r>
    </w:p>
    <w:p w14:paraId="2796720C" w14:textId="47467AB8" w:rsidR="001469C4" w:rsidRDefault="00802A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Figure 4.1:</w:t>
      </w:r>
      <w:r>
        <w:rPr>
          <w:rFonts w:ascii="Times New Roman" w:eastAsia="Times New Roman" w:hAnsi="Times New Roman" w:cs="Times New Roman"/>
          <w:sz w:val="24"/>
          <w:szCs w:val="24"/>
        </w:rPr>
        <w:t xml:space="preserve"> Venn diagram illustrating the overlap between luteolin and CRC-associated target genes. </w:t>
      </w:r>
      <w:r>
        <w:br w:type="page"/>
      </w:r>
    </w:p>
    <w:p w14:paraId="51A20602" w14:textId="77777777" w:rsidR="001469C4" w:rsidRDefault="00802A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0" distB="0" distL="0" distR="0" wp14:anchorId="7934C407" wp14:editId="78513EB8">
            <wp:extent cx="5476875" cy="4352925"/>
            <wp:effectExtent l="0" t="0" r="0" b="0"/>
            <wp:docPr id="8" name="image20.png" descr="C:\Users\US\Downloads\RESULT\hsa05210.pathview-CRC.png"/>
            <wp:cNvGraphicFramePr/>
            <a:graphic xmlns:a="http://schemas.openxmlformats.org/drawingml/2006/main">
              <a:graphicData uri="http://schemas.openxmlformats.org/drawingml/2006/picture">
                <pic:pic xmlns:pic="http://schemas.openxmlformats.org/drawingml/2006/picture">
                  <pic:nvPicPr>
                    <pic:cNvPr id="0" name="image20.png" descr="C:\Users\US\Downloads\RESULT\hsa05210.pathview-CRC.png"/>
                    <pic:cNvPicPr preferRelativeResize="0"/>
                  </pic:nvPicPr>
                  <pic:blipFill>
                    <a:blip r:embed="rId17"/>
                    <a:srcRect/>
                    <a:stretch>
                      <a:fillRect/>
                    </a:stretch>
                  </pic:blipFill>
                  <pic:spPr>
                    <a:xfrm>
                      <a:off x="0" y="0"/>
                      <a:ext cx="5476875" cy="4352925"/>
                    </a:xfrm>
                    <a:prstGeom prst="rect">
                      <a:avLst/>
                    </a:prstGeom>
                    <a:ln/>
                  </pic:spPr>
                </pic:pic>
              </a:graphicData>
            </a:graphic>
          </wp:inline>
        </w:drawing>
      </w:r>
    </w:p>
    <w:p w14:paraId="4FCD57C9" w14:textId="07C79090" w:rsidR="001469C4" w:rsidRDefault="00802A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Figure 4.2:</w:t>
      </w:r>
      <w:r>
        <w:rPr>
          <w:rFonts w:ascii="Times New Roman" w:eastAsia="Times New Roman" w:hAnsi="Times New Roman" w:cs="Times New Roman"/>
          <w:sz w:val="24"/>
          <w:szCs w:val="24"/>
        </w:rPr>
        <w:t xml:space="preserve"> KEGG pathway map illustrating luteolin-associated targets involved in CRC signaling. </w:t>
      </w:r>
      <w:r>
        <w:br w:type="page"/>
      </w:r>
    </w:p>
    <w:p w14:paraId="13ADAACA" w14:textId="77777777" w:rsidR="001469C4" w:rsidRDefault="00802A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0" distB="0" distL="0" distR="0" wp14:anchorId="5FE0148C" wp14:editId="32813ADE">
            <wp:extent cx="5276850" cy="4143375"/>
            <wp:effectExtent l="0" t="0" r="0" b="0"/>
            <wp:docPr id="29" name="image15.png" descr="C:\Users\US\Downloads\RESULT\string_interactions_short.tsv.png"/>
            <wp:cNvGraphicFramePr/>
            <a:graphic xmlns:a="http://schemas.openxmlformats.org/drawingml/2006/main">
              <a:graphicData uri="http://schemas.openxmlformats.org/drawingml/2006/picture">
                <pic:pic xmlns:pic="http://schemas.openxmlformats.org/drawingml/2006/picture">
                  <pic:nvPicPr>
                    <pic:cNvPr id="0" name="image15.png" descr="C:\Users\US\Downloads\RESULT\string_interactions_short.tsv.png"/>
                    <pic:cNvPicPr preferRelativeResize="0"/>
                  </pic:nvPicPr>
                  <pic:blipFill>
                    <a:blip r:embed="rId18"/>
                    <a:srcRect/>
                    <a:stretch>
                      <a:fillRect/>
                    </a:stretch>
                  </pic:blipFill>
                  <pic:spPr>
                    <a:xfrm>
                      <a:off x="0" y="0"/>
                      <a:ext cx="5276850" cy="4143375"/>
                    </a:xfrm>
                    <a:prstGeom prst="rect">
                      <a:avLst/>
                    </a:prstGeom>
                    <a:ln/>
                  </pic:spPr>
                </pic:pic>
              </a:graphicData>
            </a:graphic>
          </wp:inline>
        </w:drawing>
      </w:r>
    </w:p>
    <w:p w14:paraId="087DC906" w14:textId="53EAEBEE" w:rsidR="001469C4" w:rsidRDefault="00802A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Figure 4.3:</w:t>
      </w:r>
      <w:r>
        <w:rPr>
          <w:rFonts w:ascii="Times New Roman" w:eastAsia="Times New Roman" w:hAnsi="Times New Roman" w:cs="Times New Roman"/>
          <w:sz w:val="24"/>
          <w:szCs w:val="24"/>
        </w:rPr>
        <w:t xml:space="preserve"> Protein–protein interaction (PPI) network of overlapping luteolin targets and colorectal cancer–associated genes. </w:t>
      </w:r>
      <w:r>
        <w:br w:type="page"/>
      </w:r>
    </w:p>
    <w:p w14:paraId="5C95A326" w14:textId="7669E76B" w:rsidR="001469C4" w:rsidRDefault="00802A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0" distB="0" distL="0" distR="0" wp14:anchorId="22BC21BB" wp14:editId="2666B690">
            <wp:extent cx="5723651" cy="5370956"/>
            <wp:effectExtent l="0" t="0" r="0" b="0"/>
            <wp:docPr id="18" name="image19.png" descr="C:\Users\US\Downloads\RESULT\string_hires_image.png"/>
            <wp:cNvGraphicFramePr/>
            <a:graphic xmlns:a="http://schemas.openxmlformats.org/drawingml/2006/main">
              <a:graphicData uri="http://schemas.openxmlformats.org/drawingml/2006/picture">
                <pic:pic xmlns:pic="http://schemas.openxmlformats.org/drawingml/2006/picture">
                  <pic:nvPicPr>
                    <pic:cNvPr id="0" name="image19.png" descr="C:\Users\US\Downloads\RESULT\string_hires_image.png"/>
                    <pic:cNvPicPr preferRelativeResize="0"/>
                  </pic:nvPicPr>
                  <pic:blipFill>
                    <a:blip r:embed="rId19"/>
                    <a:srcRect/>
                    <a:stretch>
                      <a:fillRect/>
                    </a:stretch>
                  </pic:blipFill>
                  <pic:spPr>
                    <a:xfrm>
                      <a:off x="0" y="0"/>
                      <a:ext cx="5723651" cy="5370956"/>
                    </a:xfrm>
                    <a:prstGeom prst="rect">
                      <a:avLst/>
                    </a:prstGeom>
                    <a:ln/>
                  </pic:spPr>
                </pic:pic>
              </a:graphicData>
            </a:graphic>
          </wp:inline>
        </w:drawing>
      </w:r>
      <w:r>
        <w:rPr>
          <w:rFonts w:ascii="Times New Roman" w:eastAsia="Times New Roman" w:hAnsi="Times New Roman" w:cs="Times New Roman"/>
          <w:b/>
          <w:bCs/>
          <w:sz w:val="24"/>
          <w:szCs w:val="24"/>
        </w:rPr>
        <w:t>Figure 4.4:</w:t>
      </w:r>
      <w:r>
        <w:rPr>
          <w:rFonts w:ascii="Times New Roman" w:eastAsia="Times New Roman" w:hAnsi="Times New Roman" w:cs="Times New Roman"/>
          <w:sz w:val="24"/>
          <w:szCs w:val="24"/>
        </w:rPr>
        <w:t xml:space="preserve"> Protein–protein interaction (PPI) network of overlapping targets between luteolin and colorectal cancer (CRC). </w:t>
      </w:r>
      <w:r>
        <w:br w:type="page"/>
      </w:r>
    </w:p>
    <w:p w14:paraId="73A0DCF1" w14:textId="75F0A18D" w:rsidR="001469C4" w:rsidRDefault="00802A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0" distB="0" distL="0" distR="0" wp14:anchorId="4D766B8F" wp14:editId="53091E19">
            <wp:extent cx="5647826" cy="4903687"/>
            <wp:effectExtent l="0" t="0" r="0" b="0"/>
            <wp:docPr id="20" name="image27.png" descr="C:\Users\US\Downloads\RESULT\MF_Enrichment_Score_barplot.png"/>
            <wp:cNvGraphicFramePr/>
            <a:graphic xmlns:a="http://schemas.openxmlformats.org/drawingml/2006/main">
              <a:graphicData uri="http://schemas.openxmlformats.org/drawingml/2006/picture">
                <pic:pic xmlns:pic="http://schemas.openxmlformats.org/drawingml/2006/picture">
                  <pic:nvPicPr>
                    <pic:cNvPr id="0" name="image27.png" descr="C:\Users\US\Downloads\RESULT\MF_Enrichment_Score_barplot.png"/>
                    <pic:cNvPicPr preferRelativeResize="0"/>
                  </pic:nvPicPr>
                  <pic:blipFill>
                    <a:blip r:embed="rId20"/>
                    <a:srcRect/>
                    <a:stretch>
                      <a:fillRect/>
                    </a:stretch>
                  </pic:blipFill>
                  <pic:spPr>
                    <a:xfrm>
                      <a:off x="0" y="0"/>
                      <a:ext cx="5647826" cy="4903687"/>
                    </a:xfrm>
                    <a:prstGeom prst="rect">
                      <a:avLst/>
                    </a:prstGeom>
                    <a:ln/>
                  </pic:spPr>
                </pic:pic>
              </a:graphicData>
            </a:graphic>
          </wp:inline>
        </w:drawing>
      </w:r>
      <w:r w:rsidRPr="00940A17">
        <w:rPr>
          <w:rFonts w:ascii="Times New Roman" w:eastAsia="Times New Roman" w:hAnsi="Times New Roman" w:cs="Times New Roman"/>
          <w:b/>
          <w:bCs/>
          <w:sz w:val="24"/>
          <w:szCs w:val="24"/>
        </w:rPr>
        <w:t>Figure 4.5:</w:t>
      </w:r>
      <w:sdt>
        <w:sdtPr>
          <w:rPr>
            <w:rFonts w:ascii="Times New Roman" w:hAnsi="Times New Roman" w:cs="Times New Roman"/>
          </w:rPr>
          <w:tag w:val="goog_rdk_3"/>
          <w:id w:val="1589709495"/>
        </w:sdtPr>
        <w:sdtContent>
          <w:r w:rsidRPr="00940A17">
            <w:rPr>
              <w:rFonts w:ascii="Times New Roman" w:eastAsia="Gungsuh" w:hAnsi="Times New Roman" w:cs="Times New Roman"/>
              <w:sz w:val="24"/>
              <w:szCs w:val="24"/>
            </w:rPr>
            <w:t xml:space="preserve"> Gene Ontology (GO) molecular function</w:t>
          </w:r>
          <w:bookmarkStart w:id="9" w:name="_GoBack"/>
          <w:bookmarkEnd w:id="9"/>
          <w:r w:rsidRPr="00940A17">
            <w:rPr>
              <w:rFonts w:ascii="Times New Roman" w:eastAsia="Gungsuh" w:hAnsi="Times New Roman" w:cs="Times New Roman"/>
              <w:sz w:val="24"/>
              <w:szCs w:val="24"/>
            </w:rPr>
            <w:t xml:space="preserve"> enrichment analysis of overlapping lut</w:t>
          </w:r>
          <w:r w:rsidR="0049043A">
            <w:rPr>
              <w:rFonts w:ascii="Times New Roman" w:eastAsia="Gungsuh" w:hAnsi="Times New Roman" w:cs="Times New Roman"/>
              <w:sz w:val="24"/>
              <w:szCs w:val="24"/>
            </w:rPr>
            <w:t>eolin–colorectal cancer targets</w:t>
          </w:r>
          <w:r w:rsidRPr="00940A17">
            <w:rPr>
              <w:rFonts w:ascii="Times New Roman" w:eastAsia="Gungsuh" w:hAnsi="Times New Roman" w:cs="Times New Roman"/>
              <w:sz w:val="24"/>
              <w:szCs w:val="24"/>
            </w:rPr>
            <w:t>.</w:t>
          </w:r>
        </w:sdtContent>
      </w:sdt>
      <w:r>
        <w:br w:type="page"/>
      </w:r>
    </w:p>
    <w:p w14:paraId="7D48F837" w14:textId="09AEB2C9" w:rsidR="001469C4" w:rsidRPr="00940A17" w:rsidRDefault="00802A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0" distB="0" distL="0" distR="0" wp14:anchorId="1FD4740F" wp14:editId="34752829">
            <wp:extent cx="5740460" cy="3821877"/>
            <wp:effectExtent l="0" t="0" r="0" b="0"/>
            <wp:docPr id="2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1"/>
                    <a:srcRect/>
                    <a:stretch>
                      <a:fillRect/>
                    </a:stretch>
                  </pic:blipFill>
                  <pic:spPr>
                    <a:xfrm>
                      <a:off x="0" y="0"/>
                      <a:ext cx="5740460" cy="3821877"/>
                    </a:xfrm>
                    <a:prstGeom prst="rect">
                      <a:avLst/>
                    </a:prstGeom>
                    <a:ln/>
                  </pic:spPr>
                </pic:pic>
              </a:graphicData>
            </a:graphic>
          </wp:inline>
        </w:drawing>
      </w:r>
      <w:r w:rsidRPr="00940A17">
        <w:rPr>
          <w:rFonts w:ascii="Times New Roman" w:eastAsia="Times New Roman" w:hAnsi="Times New Roman" w:cs="Times New Roman"/>
          <w:b/>
          <w:bCs/>
          <w:sz w:val="24"/>
          <w:szCs w:val="24"/>
        </w:rPr>
        <w:t>Figure 4.6:</w:t>
      </w:r>
      <w:sdt>
        <w:sdtPr>
          <w:rPr>
            <w:rFonts w:ascii="Times New Roman" w:hAnsi="Times New Roman" w:cs="Times New Roman"/>
          </w:rPr>
          <w:tag w:val="goog_rdk_4"/>
          <w:id w:val="508598606"/>
        </w:sdtPr>
        <w:sdtContent>
          <w:r w:rsidRPr="00940A17">
            <w:rPr>
              <w:rFonts w:ascii="Times New Roman" w:eastAsia="Gungsuh" w:hAnsi="Times New Roman" w:cs="Times New Roman"/>
              <w:sz w:val="24"/>
              <w:szCs w:val="24"/>
            </w:rPr>
            <w:t xml:space="preserve"> Pathway enrichment analysis of overlapping luteolin–colorectal cancer targets. </w:t>
          </w:r>
        </w:sdtContent>
      </w:sdt>
    </w:p>
    <w:p w14:paraId="7367611F" w14:textId="77777777" w:rsidR="001469C4" w:rsidRPr="00940A17" w:rsidRDefault="00802A6C">
      <w:pPr>
        <w:spacing w:line="240" w:lineRule="auto"/>
        <w:rPr>
          <w:rFonts w:ascii="Times New Roman" w:eastAsia="Times New Roman" w:hAnsi="Times New Roman" w:cs="Times New Roman"/>
          <w:sz w:val="24"/>
          <w:szCs w:val="24"/>
        </w:rPr>
      </w:pPr>
      <w:r w:rsidRPr="00940A17">
        <w:rPr>
          <w:rFonts w:ascii="Times New Roman" w:hAnsi="Times New Roman" w:cs="Times New Roman"/>
        </w:rPr>
        <w:br w:type="page"/>
      </w:r>
    </w:p>
    <w:p w14:paraId="6005C7F0" w14:textId="77777777" w:rsidR="001469C4" w:rsidRDefault="00802A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Table 4.1:</w:t>
      </w:r>
      <w:r>
        <w:rPr>
          <w:rFonts w:ascii="Times New Roman" w:eastAsia="Times New Roman" w:hAnsi="Times New Roman" w:cs="Times New Roman"/>
          <w:sz w:val="24"/>
          <w:szCs w:val="24"/>
        </w:rPr>
        <w:t xml:space="preserve"> Summary of molecular docking and MMGBSA score. </w:t>
      </w:r>
    </w:p>
    <w:tbl>
      <w:tblPr>
        <w:tblStyle w:val="a0"/>
        <w:tblW w:w="9930" w:type="dxa"/>
        <w:tblBorders>
          <w:top w:val="single" w:sz="4" w:space="0" w:color="auto"/>
          <w:bottom w:val="single" w:sz="4" w:space="0" w:color="auto"/>
        </w:tblBorders>
        <w:tblLayout w:type="fixed"/>
        <w:tblLook w:val="0600" w:firstRow="0" w:lastRow="0" w:firstColumn="0" w:lastColumn="0" w:noHBand="1" w:noVBand="1"/>
      </w:tblPr>
      <w:tblGrid>
        <w:gridCol w:w="1725"/>
        <w:gridCol w:w="2775"/>
        <w:gridCol w:w="3165"/>
        <w:gridCol w:w="2265"/>
      </w:tblGrid>
      <w:tr w:rsidR="001469C4" w14:paraId="223853AA" w14:textId="77777777" w:rsidTr="00C76B04">
        <w:tc>
          <w:tcPr>
            <w:tcW w:w="1725" w:type="dxa"/>
            <w:tcBorders>
              <w:top w:val="single" w:sz="4" w:space="0" w:color="auto"/>
              <w:bottom w:val="single" w:sz="4" w:space="0" w:color="auto"/>
            </w:tcBorders>
            <w:shd w:val="clear" w:color="auto" w:fill="auto"/>
            <w:tcMar>
              <w:top w:w="100" w:type="dxa"/>
              <w:left w:w="100" w:type="dxa"/>
              <w:bottom w:w="100" w:type="dxa"/>
              <w:right w:w="100" w:type="dxa"/>
            </w:tcMar>
          </w:tcPr>
          <w:p w14:paraId="58D42EC2" w14:textId="3A3836C1"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Target</w:t>
            </w:r>
          </w:p>
        </w:tc>
        <w:tc>
          <w:tcPr>
            <w:tcW w:w="2775" w:type="dxa"/>
            <w:tcBorders>
              <w:top w:val="single" w:sz="4" w:space="0" w:color="auto"/>
              <w:bottom w:val="single" w:sz="4" w:space="0" w:color="auto"/>
            </w:tcBorders>
            <w:shd w:val="clear" w:color="auto" w:fill="auto"/>
            <w:tcMar>
              <w:top w:w="100" w:type="dxa"/>
              <w:left w:w="100" w:type="dxa"/>
              <w:bottom w:w="100" w:type="dxa"/>
              <w:right w:w="100" w:type="dxa"/>
            </w:tcMar>
          </w:tcPr>
          <w:p w14:paraId="5F12A9E2"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Docking score (kcal/mol)</w:t>
            </w:r>
          </w:p>
        </w:tc>
        <w:tc>
          <w:tcPr>
            <w:tcW w:w="3165" w:type="dxa"/>
            <w:tcBorders>
              <w:top w:val="single" w:sz="4" w:space="0" w:color="auto"/>
              <w:bottom w:val="single" w:sz="4" w:space="0" w:color="auto"/>
            </w:tcBorders>
            <w:shd w:val="clear" w:color="auto" w:fill="auto"/>
            <w:tcMar>
              <w:top w:w="100" w:type="dxa"/>
              <w:left w:w="100" w:type="dxa"/>
              <w:bottom w:w="100" w:type="dxa"/>
              <w:right w:w="100" w:type="dxa"/>
            </w:tcMar>
          </w:tcPr>
          <w:p w14:paraId="6A0C2209"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MMGBSA score (kcal/mol)</w:t>
            </w:r>
          </w:p>
        </w:tc>
        <w:tc>
          <w:tcPr>
            <w:tcW w:w="2265" w:type="dxa"/>
            <w:tcBorders>
              <w:top w:val="single" w:sz="4" w:space="0" w:color="auto"/>
              <w:bottom w:val="single" w:sz="4" w:space="0" w:color="auto"/>
            </w:tcBorders>
            <w:shd w:val="clear" w:color="auto" w:fill="auto"/>
            <w:tcMar>
              <w:top w:w="100" w:type="dxa"/>
              <w:left w:w="100" w:type="dxa"/>
              <w:bottom w:w="100" w:type="dxa"/>
              <w:right w:w="100" w:type="dxa"/>
            </w:tcMar>
          </w:tcPr>
          <w:p w14:paraId="6E82926D"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Grid box (X, Y, Z)</w:t>
            </w:r>
          </w:p>
        </w:tc>
      </w:tr>
      <w:tr w:rsidR="001469C4" w14:paraId="5227B277" w14:textId="77777777" w:rsidTr="00C76B04">
        <w:tc>
          <w:tcPr>
            <w:tcW w:w="1725" w:type="dxa"/>
            <w:tcBorders>
              <w:top w:val="single" w:sz="4" w:space="0" w:color="auto"/>
            </w:tcBorders>
            <w:shd w:val="clear" w:color="auto" w:fill="auto"/>
            <w:tcMar>
              <w:top w:w="100" w:type="dxa"/>
              <w:left w:w="100" w:type="dxa"/>
              <w:bottom w:w="100" w:type="dxa"/>
              <w:right w:w="100" w:type="dxa"/>
            </w:tcMar>
          </w:tcPr>
          <w:p w14:paraId="65EE622B"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Casp 3</w:t>
            </w:r>
          </w:p>
        </w:tc>
        <w:tc>
          <w:tcPr>
            <w:tcW w:w="2775" w:type="dxa"/>
            <w:tcBorders>
              <w:top w:val="single" w:sz="4" w:space="0" w:color="auto"/>
            </w:tcBorders>
            <w:shd w:val="clear" w:color="auto" w:fill="auto"/>
            <w:tcMar>
              <w:top w:w="100" w:type="dxa"/>
              <w:left w:w="100" w:type="dxa"/>
              <w:bottom w:w="100" w:type="dxa"/>
              <w:right w:w="100" w:type="dxa"/>
            </w:tcMar>
          </w:tcPr>
          <w:p w14:paraId="0538FB6B"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-9.761</w:t>
            </w:r>
          </w:p>
        </w:tc>
        <w:tc>
          <w:tcPr>
            <w:tcW w:w="3165" w:type="dxa"/>
            <w:tcBorders>
              <w:top w:val="single" w:sz="4" w:space="0" w:color="auto"/>
            </w:tcBorders>
            <w:shd w:val="clear" w:color="auto" w:fill="auto"/>
            <w:tcMar>
              <w:top w:w="100" w:type="dxa"/>
              <w:left w:w="100" w:type="dxa"/>
              <w:bottom w:w="100" w:type="dxa"/>
              <w:right w:w="100" w:type="dxa"/>
            </w:tcMar>
          </w:tcPr>
          <w:p w14:paraId="7611EBA5"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-34.217</w:t>
            </w:r>
          </w:p>
        </w:tc>
        <w:tc>
          <w:tcPr>
            <w:tcW w:w="2265" w:type="dxa"/>
            <w:tcBorders>
              <w:top w:val="single" w:sz="4" w:space="0" w:color="auto"/>
            </w:tcBorders>
            <w:shd w:val="clear" w:color="auto" w:fill="auto"/>
            <w:tcMar>
              <w:top w:w="100" w:type="dxa"/>
              <w:left w:w="100" w:type="dxa"/>
              <w:bottom w:w="100" w:type="dxa"/>
              <w:right w:w="100" w:type="dxa"/>
            </w:tcMar>
          </w:tcPr>
          <w:p w14:paraId="288A067D"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-16.2, 0.78, -15.35</w:t>
            </w:r>
          </w:p>
        </w:tc>
      </w:tr>
      <w:tr w:rsidR="001469C4" w14:paraId="3B942C36" w14:textId="77777777" w:rsidTr="00C76B04">
        <w:tc>
          <w:tcPr>
            <w:tcW w:w="1725" w:type="dxa"/>
            <w:shd w:val="clear" w:color="auto" w:fill="auto"/>
            <w:tcMar>
              <w:top w:w="100" w:type="dxa"/>
              <w:left w:w="100" w:type="dxa"/>
              <w:bottom w:w="100" w:type="dxa"/>
              <w:right w:w="100" w:type="dxa"/>
            </w:tcMar>
          </w:tcPr>
          <w:p w14:paraId="57F65CE4"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AKT1</w:t>
            </w:r>
          </w:p>
        </w:tc>
        <w:tc>
          <w:tcPr>
            <w:tcW w:w="2775" w:type="dxa"/>
            <w:shd w:val="clear" w:color="auto" w:fill="auto"/>
            <w:tcMar>
              <w:top w:w="100" w:type="dxa"/>
              <w:left w:w="100" w:type="dxa"/>
              <w:bottom w:w="100" w:type="dxa"/>
              <w:right w:w="100" w:type="dxa"/>
            </w:tcMar>
          </w:tcPr>
          <w:p w14:paraId="2156729E"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-8.613</w:t>
            </w:r>
          </w:p>
        </w:tc>
        <w:tc>
          <w:tcPr>
            <w:tcW w:w="3165" w:type="dxa"/>
            <w:shd w:val="clear" w:color="auto" w:fill="auto"/>
            <w:tcMar>
              <w:top w:w="100" w:type="dxa"/>
              <w:left w:w="100" w:type="dxa"/>
              <w:bottom w:w="100" w:type="dxa"/>
              <w:right w:w="100" w:type="dxa"/>
            </w:tcMar>
          </w:tcPr>
          <w:p w14:paraId="0C77DE6F"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-54.22</w:t>
            </w:r>
          </w:p>
        </w:tc>
        <w:tc>
          <w:tcPr>
            <w:tcW w:w="2265" w:type="dxa"/>
            <w:shd w:val="clear" w:color="auto" w:fill="auto"/>
            <w:tcMar>
              <w:top w:w="100" w:type="dxa"/>
              <w:left w:w="100" w:type="dxa"/>
              <w:bottom w:w="100" w:type="dxa"/>
              <w:right w:w="100" w:type="dxa"/>
            </w:tcMar>
          </w:tcPr>
          <w:p w14:paraId="6D9D034A"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-12.67, 7.96, -14.68</w:t>
            </w:r>
          </w:p>
        </w:tc>
      </w:tr>
      <w:tr w:rsidR="001469C4" w14:paraId="3B9BED73" w14:textId="77777777" w:rsidTr="00C76B04">
        <w:tc>
          <w:tcPr>
            <w:tcW w:w="1725" w:type="dxa"/>
            <w:shd w:val="clear" w:color="auto" w:fill="auto"/>
            <w:tcMar>
              <w:top w:w="100" w:type="dxa"/>
              <w:left w:w="100" w:type="dxa"/>
              <w:bottom w:w="100" w:type="dxa"/>
              <w:right w:w="100" w:type="dxa"/>
            </w:tcMar>
          </w:tcPr>
          <w:p w14:paraId="3E70F70C"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mTOR</w:t>
            </w:r>
          </w:p>
        </w:tc>
        <w:tc>
          <w:tcPr>
            <w:tcW w:w="2775" w:type="dxa"/>
            <w:shd w:val="clear" w:color="auto" w:fill="auto"/>
            <w:tcMar>
              <w:top w:w="100" w:type="dxa"/>
              <w:left w:w="100" w:type="dxa"/>
              <w:bottom w:w="100" w:type="dxa"/>
              <w:right w:w="100" w:type="dxa"/>
            </w:tcMar>
          </w:tcPr>
          <w:p w14:paraId="0EC262A0"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-7.92</w:t>
            </w:r>
          </w:p>
        </w:tc>
        <w:tc>
          <w:tcPr>
            <w:tcW w:w="3165" w:type="dxa"/>
            <w:shd w:val="clear" w:color="auto" w:fill="auto"/>
            <w:tcMar>
              <w:top w:w="100" w:type="dxa"/>
              <w:left w:w="100" w:type="dxa"/>
              <w:bottom w:w="100" w:type="dxa"/>
              <w:right w:w="100" w:type="dxa"/>
            </w:tcMar>
          </w:tcPr>
          <w:p w14:paraId="524E50BE"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-26.31</w:t>
            </w:r>
          </w:p>
        </w:tc>
        <w:tc>
          <w:tcPr>
            <w:tcW w:w="2265" w:type="dxa"/>
            <w:shd w:val="clear" w:color="auto" w:fill="auto"/>
            <w:tcMar>
              <w:top w:w="100" w:type="dxa"/>
              <w:left w:w="100" w:type="dxa"/>
              <w:bottom w:w="100" w:type="dxa"/>
              <w:right w:w="100" w:type="dxa"/>
            </w:tcMar>
          </w:tcPr>
          <w:p w14:paraId="217C60D7"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-2.78, -12.73, 2.97</w:t>
            </w:r>
          </w:p>
        </w:tc>
      </w:tr>
      <w:tr w:rsidR="001469C4" w14:paraId="7EECFBA7" w14:textId="77777777" w:rsidTr="00C76B04">
        <w:tc>
          <w:tcPr>
            <w:tcW w:w="1725" w:type="dxa"/>
            <w:shd w:val="clear" w:color="auto" w:fill="auto"/>
            <w:tcMar>
              <w:top w:w="100" w:type="dxa"/>
              <w:left w:w="100" w:type="dxa"/>
              <w:bottom w:w="100" w:type="dxa"/>
              <w:right w:w="100" w:type="dxa"/>
            </w:tcMar>
          </w:tcPr>
          <w:p w14:paraId="67F12A58"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P53</w:t>
            </w:r>
          </w:p>
        </w:tc>
        <w:tc>
          <w:tcPr>
            <w:tcW w:w="2775" w:type="dxa"/>
            <w:shd w:val="clear" w:color="auto" w:fill="auto"/>
            <w:tcMar>
              <w:top w:w="100" w:type="dxa"/>
              <w:left w:w="100" w:type="dxa"/>
              <w:bottom w:w="100" w:type="dxa"/>
              <w:right w:w="100" w:type="dxa"/>
            </w:tcMar>
          </w:tcPr>
          <w:p w14:paraId="29F25C72"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-7.418</w:t>
            </w:r>
          </w:p>
        </w:tc>
        <w:tc>
          <w:tcPr>
            <w:tcW w:w="3165" w:type="dxa"/>
            <w:shd w:val="clear" w:color="auto" w:fill="auto"/>
            <w:tcMar>
              <w:top w:w="100" w:type="dxa"/>
              <w:left w:w="100" w:type="dxa"/>
              <w:bottom w:w="100" w:type="dxa"/>
              <w:right w:w="100" w:type="dxa"/>
            </w:tcMar>
          </w:tcPr>
          <w:p w14:paraId="51D13929"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-16.921</w:t>
            </w:r>
          </w:p>
        </w:tc>
        <w:tc>
          <w:tcPr>
            <w:tcW w:w="2265" w:type="dxa"/>
            <w:shd w:val="clear" w:color="auto" w:fill="auto"/>
            <w:tcMar>
              <w:top w:w="100" w:type="dxa"/>
              <w:left w:w="100" w:type="dxa"/>
              <w:bottom w:w="100" w:type="dxa"/>
              <w:right w:w="100" w:type="dxa"/>
            </w:tcMar>
          </w:tcPr>
          <w:p w14:paraId="628AB920"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12.34, -4.72, 12.26</w:t>
            </w:r>
          </w:p>
        </w:tc>
      </w:tr>
      <w:tr w:rsidR="001469C4" w14:paraId="4F35BC6E" w14:textId="77777777" w:rsidTr="00C76B04">
        <w:tc>
          <w:tcPr>
            <w:tcW w:w="1725" w:type="dxa"/>
            <w:shd w:val="clear" w:color="auto" w:fill="auto"/>
            <w:tcMar>
              <w:top w:w="100" w:type="dxa"/>
              <w:left w:w="100" w:type="dxa"/>
              <w:bottom w:w="100" w:type="dxa"/>
              <w:right w:w="100" w:type="dxa"/>
            </w:tcMar>
          </w:tcPr>
          <w:p w14:paraId="647F3F9C"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Bcl2</w:t>
            </w:r>
          </w:p>
        </w:tc>
        <w:tc>
          <w:tcPr>
            <w:tcW w:w="2775" w:type="dxa"/>
            <w:shd w:val="clear" w:color="auto" w:fill="auto"/>
            <w:tcMar>
              <w:top w:w="100" w:type="dxa"/>
              <w:left w:w="100" w:type="dxa"/>
              <w:bottom w:w="100" w:type="dxa"/>
              <w:right w:w="100" w:type="dxa"/>
            </w:tcMar>
          </w:tcPr>
          <w:p w14:paraId="00B82CF3"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-6.711</w:t>
            </w:r>
          </w:p>
        </w:tc>
        <w:tc>
          <w:tcPr>
            <w:tcW w:w="3165" w:type="dxa"/>
            <w:shd w:val="clear" w:color="auto" w:fill="auto"/>
            <w:tcMar>
              <w:top w:w="100" w:type="dxa"/>
              <w:left w:w="100" w:type="dxa"/>
              <w:bottom w:w="100" w:type="dxa"/>
              <w:right w:w="100" w:type="dxa"/>
            </w:tcMar>
          </w:tcPr>
          <w:p w14:paraId="34A1219F"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-23.181</w:t>
            </w:r>
          </w:p>
        </w:tc>
        <w:tc>
          <w:tcPr>
            <w:tcW w:w="2265" w:type="dxa"/>
            <w:shd w:val="clear" w:color="auto" w:fill="auto"/>
            <w:tcMar>
              <w:top w:w="100" w:type="dxa"/>
              <w:left w:w="100" w:type="dxa"/>
              <w:bottom w:w="100" w:type="dxa"/>
              <w:right w:w="100" w:type="dxa"/>
            </w:tcMar>
          </w:tcPr>
          <w:p w14:paraId="2493A536"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-9.37, 14.29, 6.92</w:t>
            </w:r>
          </w:p>
        </w:tc>
      </w:tr>
      <w:tr w:rsidR="001469C4" w14:paraId="2001EC47" w14:textId="77777777" w:rsidTr="00C76B04">
        <w:tc>
          <w:tcPr>
            <w:tcW w:w="1725" w:type="dxa"/>
            <w:shd w:val="clear" w:color="auto" w:fill="auto"/>
            <w:tcMar>
              <w:top w:w="100" w:type="dxa"/>
              <w:left w:w="100" w:type="dxa"/>
              <w:bottom w:w="100" w:type="dxa"/>
              <w:right w:w="100" w:type="dxa"/>
            </w:tcMar>
          </w:tcPr>
          <w:p w14:paraId="5B8AA5CF"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Casp 9</w:t>
            </w:r>
          </w:p>
        </w:tc>
        <w:tc>
          <w:tcPr>
            <w:tcW w:w="2775" w:type="dxa"/>
            <w:shd w:val="clear" w:color="auto" w:fill="auto"/>
            <w:tcMar>
              <w:top w:w="100" w:type="dxa"/>
              <w:left w:w="100" w:type="dxa"/>
              <w:bottom w:w="100" w:type="dxa"/>
              <w:right w:w="100" w:type="dxa"/>
            </w:tcMar>
          </w:tcPr>
          <w:p w14:paraId="7107D043"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-6.07</w:t>
            </w:r>
          </w:p>
        </w:tc>
        <w:tc>
          <w:tcPr>
            <w:tcW w:w="3165" w:type="dxa"/>
            <w:shd w:val="clear" w:color="auto" w:fill="auto"/>
            <w:tcMar>
              <w:top w:w="100" w:type="dxa"/>
              <w:left w:w="100" w:type="dxa"/>
              <w:bottom w:w="100" w:type="dxa"/>
              <w:right w:w="100" w:type="dxa"/>
            </w:tcMar>
          </w:tcPr>
          <w:p w14:paraId="53CD80EA"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-17.31</w:t>
            </w:r>
          </w:p>
        </w:tc>
        <w:tc>
          <w:tcPr>
            <w:tcW w:w="2265" w:type="dxa"/>
            <w:shd w:val="clear" w:color="auto" w:fill="auto"/>
            <w:tcMar>
              <w:top w:w="100" w:type="dxa"/>
              <w:left w:w="100" w:type="dxa"/>
              <w:bottom w:w="100" w:type="dxa"/>
              <w:right w:w="100" w:type="dxa"/>
            </w:tcMar>
          </w:tcPr>
          <w:p w14:paraId="0DD7847A"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-3.87, 15.28, -7.27</w:t>
            </w:r>
          </w:p>
        </w:tc>
      </w:tr>
      <w:tr w:rsidR="001469C4" w14:paraId="69227C42" w14:textId="77777777" w:rsidTr="00C76B04">
        <w:tc>
          <w:tcPr>
            <w:tcW w:w="1725" w:type="dxa"/>
            <w:shd w:val="clear" w:color="auto" w:fill="auto"/>
            <w:tcMar>
              <w:top w:w="100" w:type="dxa"/>
              <w:left w:w="100" w:type="dxa"/>
              <w:bottom w:w="100" w:type="dxa"/>
              <w:right w:w="100" w:type="dxa"/>
            </w:tcMar>
          </w:tcPr>
          <w:p w14:paraId="04D21CDD"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CDKN1A</w:t>
            </w:r>
          </w:p>
        </w:tc>
        <w:tc>
          <w:tcPr>
            <w:tcW w:w="2775" w:type="dxa"/>
            <w:shd w:val="clear" w:color="auto" w:fill="auto"/>
            <w:tcMar>
              <w:top w:w="100" w:type="dxa"/>
              <w:left w:w="100" w:type="dxa"/>
              <w:bottom w:w="100" w:type="dxa"/>
              <w:right w:w="100" w:type="dxa"/>
            </w:tcMar>
          </w:tcPr>
          <w:p w14:paraId="0BA9FF30"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-4.672</w:t>
            </w:r>
          </w:p>
        </w:tc>
        <w:tc>
          <w:tcPr>
            <w:tcW w:w="3165" w:type="dxa"/>
            <w:shd w:val="clear" w:color="auto" w:fill="auto"/>
            <w:tcMar>
              <w:top w:w="100" w:type="dxa"/>
              <w:left w:w="100" w:type="dxa"/>
              <w:bottom w:w="100" w:type="dxa"/>
              <w:right w:w="100" w:type="dxa"/>
            </w:tcMar>
          </w:tcPr>
          <w:p w14:paraId="13AF910F" w14:textId="77777777"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-12.762</w:t>
            </w:r>
          </w:p>
        </w:tc>
        <w:tc>
          <w:tcPr>
            <w:tcW w:w="2265" w:type="dxa"/>
            <w:shd w:val="clear" w:color="auto" w:fill="auto"/>
            <w:tcMar>
              <w:top w:w="100" w:type="dxa"/>
              <w:left w:w="100" w:type="dxa"/>
              <w:bottom w:w="100" w:type="dxa"/>
              <w:right w:w="100" w:type="dxa"/>
            </w:tcMar>
          </w:tcPr>
          <w:p w14:paraId="515C9DE7" w14:textId="740D385D" w:rsidR="001469C4" w:rsidRDefault="00802A6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21.24, -2.71, 16.09</w:t>
            </w:r>
          </w:p>
        </w:tc>
      </w:tr>
    </w:tbl>
    <w:p w14:paraId="6B05EBE8" w14:textId="77777777" w:rsidR="001469C4" w:rsidRDefault="00802A6C">
      <w:pPr>
        <w:spacing w:line="240" w:lineRule="auto"/>
        <w:rPr>
          <w:rFonts w:ascii="Times New Roman" w:eastAsia="Times New Roman" w:hAnsi="Times New Roman" w:cs="Times New Roman"/>
          <w:sz w:val="24"/>
          <w:szCs w:val="24"/>
        </w:rPr>
      </w:pPr>
      <w:r>
        <w:br w:type="page"/>
      </w:r>
    </w:p>
    <w:p w14:paraId="5D380DC1" w14:textId="2639F6A7" w:rsidR="00521432" w:rsidRPr="00A42472" w:rsidRDefault="00802A6C" w:rsidP="009E7F3C">
      <w:pPr>
        <w:spacing w:line="480" w:lineRule="auto"/>
        <w:jc w:val="center"/>
        <w:rPr>
          <w:rFonts w:ascii="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0" distB="0" distL="0" distR="0" wp14:anchorId="0D927607" wp14:editId="46C6A8CF">
            <wp:extent cx="5724525" cy="3160395"/>
            <wp:effectExtent l="0" t="0" r="0" b="0"/>
            <wp:docPr id="1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2"/>
                    <a:srcRect/>
                    <a:stretch>
                      <a:fillRect/>
                    </a:stretch>
                  </pic:blipFill>
                  <pic:spPr>
                    <a:xfrm>
                      <a:off x="0" y="0"/>
                      <a:ext cx="5724525" cy="3160395"/>
                    </a:xfrm>
                    <a:prstGeom prst="rect">
                      <a:avLst/>
                    </a:prstGeom>
                    <a:ln/>
                  </pic:spPr>
                </pic:pic>
              </a:graphicData>
            </a:graphic>
          </wp:inline>
        </w:drawing>
      </w:r>
      <w:r>
        <w:rPr>
          <w:rFonts w:ascii="Times New Roman" w:eastAsia="Times New Roman" w:hAnsi="Times New Roman" w:cs="Times New Roman"/>
          <w:b/>
          <w:bCs/>
          <w:sz w:val="24"/>
          <w:szCs w:val="24"/>
        </w:rPr>
        <w:t>Figure 4.7:</w:t>
      </w:r>
      <w:r>
        <w:rPr>
          <w:rFonts w:ascii="Times New Roman" w:eastAsia="Times New Roman" w:hAnsi="Times New Roman" w:cs="Times New Roman"/>
          <w:sz w:val="24"/>
          <w:szCs w:val="24"/>
        </w:rPr>
        <w:t xml:space="preserve"> </w:t>
      </w:r>
      <w:r w:rsidR="00A42472" w:rsidRPr="009E7F3C">
        <w:rPr>
          <w:rFonts w:ascii="Times New Roman" w:hAnsi="Times New Roman" w:cs="Times New Roman"/>
          <w:sz w:val="24"/>
          <w:szCs w:val="24"/>
        </w:rPr>
        <w:t xml:space="preserve">RMSD </w:t>
      </w:r>
      <w:r w:rsidR="009E7F3C" w:rsidRPr="009E7F3C">
        <w:rPr>
          <w:rFonts w:ascii="Times New Roman" w:hAnsi="Times New Roman" w:cs="Times New Roman"/>
          <w:sz w:val="24"/>
          <w:szCs w:val="24"/>
        </w:rPr>
        <w:t xml:space="preserve">plot </w:t>
      </w:r>
      <w:r w:rsidR="00A42472" w:rsidRPr="009E7F3C">
        <w:rPr>
          <w:rFonts w:ascii="Times New Roman" w:hAnsi="Times New Roman" w:cs="Times New Roman"/>
          <w:sz w:val="24"/>
          <w:szCs w:val="24"/>
        </w:rPr>
        <w:t>Caspase-3 (2J30)–luteolin complex over a 100 ns molecular dynamics simulation.</w:t>
      </w:r>
    </w:p>
    <w:p w14:paraId="02296675" w14:textId="4573751F" w:rsidR="001469C4" w:rsidRDefault="00521432" w:rsidP="0052143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A74834C" w14:textId="0F0DA951" w:rsidR="001469C4" w:rsidRDefault="00802A6C" w:rsidP="009E7F3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0" distB="0" distL="0" distR="0" wp14:anchorId="4E46E4DD" wp14:editId="10C6E00F">
            <wp:extent cx="5943600" cy="2844800"/>
            <wp:effectExtent l="0" t="0" r="0" b="0"/>
            <wp:docPr id="33" name="image23.png" descr="C:\Users\US\Downloads\2J30 data\images\PL-RMSD.png"/>
            <wp:cNvGraphicFramePr/>
            <a:graphic xmlns:a="http://schemas.openxmlformats.org/drawingml/2006/main">
              <a:graphicData uri="http://schemas.openxmlformats.org/drawingml/2006/picture">
                <pic:pic xmlns:pic="http://schemas.openxmlformats.org/drawingml/2006/picture">
                  <pic:nvPicPr>
                    <pic:cNvPr id="0" name="image23.png" descr="C:\Users\US\Downloads\2J30 data\images\PL-RMSD.png"/>
                    <pic:cNvPicPr preferRelativeResize="0"/>
                  </pic:nvPicPr>
                  <pic:blipFill>
                    <a:blip r:embed="rId23"/>
                    <a:srcRect b="6998"/>
                    <a:stretch>
                      <a:fillRect/>
                    </a:stretch>
                  </pic:blipFill>
                  <pic:spPr>
                    <a:xfrm>
                      <a:off x="0" y="0"/>
                      <a:ext cx="5943600" cy="2844800"/>
                    </a:xfrm>
                    <a:prstGeom prst="rect">
                      <a:avLst/>
                    </a:prstGeom>
                    <a:ln/>
                  </pic:spPr>
                </pic:pic>
              </a:graphicData>
            </a:graphic>
          </wp:inline>
        </w:drawing>
      </w:r>
      <w:r>
        <w:rPr>
          <w:rFonts w:ascii="Times New Roman" w:eastAsia="Times New Roman" w:hAnsi="Times New Roman" w:cs="Times New Roman"/>
          <w:b/>
          <w:bCs/>
          <w:sz w:val="24"/>
          <w:szCs w:val="24"/>
        </w:rPr>
        <w:t>Figure 4.8:</w:t>
      </w:r>
      <w:r>
        <w:rPr>
          <w:rFonts w:ascii="Times New Roman" w:eastAsia="Times New Roman" w:hAnsi="Times New Roman" w:cs="Times New Roman"/>
          <w:sz w:val="24"/>
          <w:szCs w:val="24"/>
        </w:rPr>
        <w:t xml:space="preserve"> </w:t>
      </w:r>
      <w:r w:rsidR="009E7F3C" w:rsidRPr="009E7F3C">
        <w:rPr>
          <w:rFonts w:ascii="Times New Roman" w:eastAsia="Times New Roman" w:hAnsi="Times New Roman" w:cs="Times New Roman"/>
          <w:sz w:val="24"/>
          <w:szCs w:val="24"/>
        </w:rPr>
        <w:t>RMSD plot for</w:t>
      </w:r>
      <w:r w:rsidR="00CB6EC7" w:rsidRPr="009E7F3C">
        <w:rPr>
          <w:rFonts w:ascii="Times New Roman" w:eastAsia="Times New Roman" w:hAnsi="Times New Roman" w:cs="Times New Roman"/>
          <w:sz w:val="24"/>
          <w:szCs w:val="24"/>
        </w:rPr>
        <w:t xml:space="preserve"> AKT1 (3O96)–luteolin complex over a 100 ns molecular dynamics simulation. </w:t>
      </w:r>
      <w:r>
        <w:br w:type="page"/>
      </w:r>
    </w:p>
    <w:p w14:paraId="72DDE0CF" w14:textId="1750EE03" w:rsidR="001469C4" w:rsidRDefault="00802A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0" distB="0" distL="0" distR="0" wp14:anchorId="388E56E6" wp14:editId="47A878EA">
            <wp:extent cx="5943600" cy="2705100"/>
            <wp:effectExtent l="0" t="0" r="0" b="0"/>
            <wp:docPr id="34" name="image24.png" descr="C:\Users\US\Downloads\3O96 data\images\PL-RMSD.png"/>
            <wp:cNvGraphicFramePr/>
            <a:graphic xmlns:a="http://schemas.openxmlformats.org/drawingml/2006/main">
              <a:graphicData uri="http://schemas.openxmlformats.org/drawingml/2006/picture">
                <pic:pic xmlns:pic="http://schemas.openxmlformats.org/drawingml/2006/picture">
                  <pic:nvPicPr>
                    <pic:cNvPr id="0" name="image24.png" descr="C:\Users\US\Downloads\3O96 data\images\PL-RMSD.png"/>
                    <pic:cNvPicPr preferRelativeResize="0"/>
                  </pic:nvPicPr>
                  <pic:blipFill>
                    <a:blip r:embed="rId24"/>
                    <a:srcRect/>
                    <a:stretch>
                      <a:fillRect/>
                    </a:stretch>
                  </pic:blipFill>
                  <pic:spPr>
                    <a:xfrm>
                      <a:off x="0" y="0"/>
                      <a:ext cx="5943600" cy="2705100"/>
                    </a:xfrm>
                    <a:prstGeom prst="rect">
                      <a:avLst/>
                    </a:prstGeom>
                    <a:ln/>
                  </pic:spPr>
                </pic:pic>
              </a:graphicData>
            </a:graphic>
          </wp:inline>
        </w:drawing>
      </w:r>
      <w:r>
        <w:rPr>
          <w:rFonts w:ascii="Times New Roman" w:eastAsia="Times New Roman" w:hAnsi="Times New Roman" w:cs="Times New Roman"/>
          <w:b/>
          <w:bCs/>
          <w:sz w:val="24"/>
          <w:szCs w:val="24"/>
        </w:rPr>
        <w:t>Figure 4.9:</w:t>
      </w:r>
      <w:r>
        <w:rPr>
          <w:rFonts w:ascii="Times New Roman" w:eastAsia="Times New Roman" w:hAnsi="Times New Roman" w:cs="Times New Roman"/>
          <w:sz w:val="24"/>
          <w:szCs w:val="24"/>
        </w:rPr>
        <w:t xml:space="preserve"> Root mean square deviation (RMSD) profiles of the mTOR (PDB ID: 4JSV)–luteolin complex over a 100 ns molecular dynamics simulation. The backbone RMSD of mTOR (blue, left y-axis) and the RMSD of luteolin fitted on the protein (red, right y-axis) are shown as a function of simulation time. </w:t>
      </w:r>
      <w:r>
        <w:br w:type="page"/>
      </w:r>
    </w:p>
    <w:p w14:paraId="45065C1C" w14:textId="020EC060" w:rsidR="001469C4" w:rsidRDefault="00802A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0" distB="0" distL="0" distR="0" wp14:anchorId="25338E2A" wp14:editId="45E19CFA">
            <wp:extent cx="5943600" cy="2856865"/>
            <wp:effectExtent l="0" t="0" r="0" b="0"/>
            <wp:docPr id="1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5"/>
                    <a:srcRect/>
                    <a:stretch>
                      <a:fillRect/>
                    </a:stretch>
                  </pic:blipFill>
                  <pic:spPr>
                    <a:xfrm>
                      <a:off x="0" y="0"/>
                      <a:ext cx="5943600" cy="2856865"/>
                    </a:xfrm>
                    <a:prstGeom prst="rect">
                      <a:avLst/>
                    </a:prstGeom>
                    <a:ln/>
                  </pic:spPr>
                </pic:pic>
              </a:graphicData>
            </a:graphic>
          </wp:inline>
        </w:drawing>
      </w:r>
      <w:r>
        <w:rPr>
          <w:rFonts w:ascii="Times New Roman" w:eastAsia="Times New Roman" w:hAnsi="Times New Roman" w:cs="Times New Roman"/>
          <w:b/>
          <w:bCs/>
          <w:sz w:val="24"/>
          <w:szCs w:val="24"/>
        </w:rPr>
        <w:t>Figure 4.10:</w:t>
      </w:r>
      <w:r>
        <w:rPr>
          <w:rFonts w:ascii="Times New Roman" w:eastAsia="Times New Roman" w:hAnsi="Times New Roman" w:cs="Times New Roman"/>
          <w:sz w:val="24"/>
          <w:szCs w:val="24"/>
        </w:rPr>
        <w:t xml:space="preserve"> Root mean square fluctuation (RMSF) profile of Caspase-3 Cα atoms obtained from the 100 ns molecular dynamics simulation of the Caspase-3–luteolin complex. </w:t>
      </w:r>
      <w:r>
        <w:br w:type="page"/>
      </w:r>
    </w:p>
    <w:p w14:paraId="20088234" w14:textId="0AF6CB44" w:rsidR="001469C4" w:rsidRDefault="00802A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0" distB="0" distL="0" distR="0" wp14:anchorId="7B4FF3BD" wp14:editId="4546A075">
            <wp:extent cx="5943600" cy="2741295"/>
            <wp:effectExtent l="0" t="0" r="0" b="0"/>
            <wp:docPr id="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6"/>
                    <a:srcRect/>
                    <a:stretch>
                      <a:fillRect/>
                    </a:stretch>
                  </pic:blipFill>
                  <pic:spPr>
                    <a:xfrm>
                      <a:off x="0" y="0"/>
                      <a:ext cx="5943600" cy="2741295"/>
                    </a:xfrm>
                    <a:prstGeom prst="rect">
                      <a:avLst/>
                    </a:prstGeom>
                    <a:ln/>
                  </pic:spPr>
                </pic:pic>
              </a:graphicData>
            </a:graphic>
          </wp:inline>
        </w:drawing>
      </w:r>
      <w:r>
        <w:rPr>
          <w:rFonts w:ascii="Times New Roman" w:eastAsia="Times New Roman" w:hAnsi="Times New Roman" w:cs="Times New Roman"/>
          <w:b/>
          <w:bCs/>
          <w:sz w:val="24"/>
          <w:szCs w:val="24"/>
        </w:rPr>
        <w:t>Figure 4.11:</w:t>
      </w:r>
      <w:r>
        <w:rPr>
          <w:rFonts w:ascii="Times New Roman" w:eastAsia="Times New Roman" w:hAnsi="Times New Roman" w:cs="Times New Roman"/>
          <w:sz w:val="24"/>
          <w:szCs w:val="24"/>
        </w:rPr>
        <w:t xml:space="preserve"> RMSF Plot 3O96 Cα atoms obtained from the 100 ns molecular dynamics simulation of the 3O96–luteolin complex. </w:t>
      </w:r>
      <w:r>
        <w:br w:type="page"/>
      </w:r>
    </w:p>
    <w:p w14:paraId="0177CB2D" w14:textId="38E09F83" w:rsidR="001469C4" w:rsidRDefault="00802A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0" distB="0" distL="0" distR="0" wp14:anchorId="418679A7" wp14:editId="5EF5CAA4">
            <wp:extent cx="5943600" cy="2890520"/>
            <wp:effectExtent l="0" t="0" r="0" b="0"/>
            <wp:docPr id="1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7"/>
                    <a:srcRect/>
                    <a:stretch>
                      <a:fillRect/>
                    </a:stretch>
                  </pic:blipFill>
                  <pic:spPr>
                    <a:xfrm>
                      <a:off x="0" y="0"/>
                      <a:ext cx="5943600" cy="2890520"/>
                    </a:xfrm>
                    <a:prstGeom prst="rect">
                      <a:avLst/>
                    </a:prstGeom>
                    <a:ln/>
                  </pic:spPr>
                </pic:pic>
              </a:graphicData>
            </a:graphic>
          </wp:inline>
        </w:drawing>
      </w:r>
      <w:r>
        <w:rPr>
          <w:rFonts w:ascii="Times New Roman" w:eastAsia="Times New Roman" w:hAnsi="Times New Roman" w:cs="Times New Roman"/>
          <w:sz w:val="24"/>
          <w:szCs w:val="24"/>
        </w:rPr>
        <w:t xml:space="preserve">Figure </w:t>
      </w:r>
      <w:r>
        <w:rPr>
          <w:rFonts w:ascii="Times New Roman" w:eastAsia="Times New Roman" w:hAnsi="Times New Roman" w:cs="Times New Roman"/>
          <w:b/>
          <w:bCs/>
          <w:sz w:val="24"/>
          <w:szCs w:val="24"/>
        </w:rPr>
        <w:t>4.12:</w:t>
      </w:r>
      <w:r>
        <w:rPr>
          <w:rFonts w:ascii="Times New Roman" w:eastAsia="Times New Roman" w:hAnsi="Times New Roman" w:cs="Times New Roman"/>
          <w:sz w:val="24"/>
          <w:szCs w:val="24"/>
        </w:rPr>
        <w:t xml:space="preserve"> RMSF Plot 4JSV Cα atoms obtained from the 100 ns molecular dynamics simulation of the 4JSV–luteolin complex. </w:t>
      </w:r>
      <w:r>
        <w:br w:type="page"/>
      </w:r>
    </w:p>
    <w:p w14:paraId="6BBA3F5B" w14:textId="77777777" w:rsidR="001469C4" w:rsidRDefault="00802A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0" distB="0" distL="0" distR="0" wp14:anchorId="166BE0A7" wp14:editId="43962FCC">
            <wp:extent cx="5943600" cy="2819400"/>
            <wp:effectExtent l="0" t="0" r="0" b="0"/>
            <wp:docPr id="11" name="image3.png" descr="C:\Users\US\Downloads\2J30 data\images\PL-Contacts_Histogram.png"/>
            <wp:cNvGraphicFramePr/>
            <a:graphic xmlns:a="http://schemas.openxmlformats.org/drawingml/2006/main">
              <a:graphicData uri="http://schemas.openxmlformats.org/drawingml/2006/picture">
                <pic:pic xmlns:pic="http://schemas.openxmlformats.org/drawingml/2006/picture">
                  <pic:nvPicPr>
                    <pic:cNvPr id="0" name="image3.png" descr="C:\Users\US\Downloads\2J30 data\images\PL-Contacts_Histogram.png"/>
                    <pic:cNvPicPr preferRelativeResize="0"/>
                  </pic:nvPicPr>
                  <pic:blipFill>
                    <a:blip r:embed="rId28"/>
                    <a:srcRect/>
                    <a:stretch>
                      <a:fillRect/>
                    </a:stretch>
                  </pic:blipFill>
                  <pic:spPr>
                    <a:xfrm>
                      <a:off x="0" y="0"/>
                      <a:ext cx="5943600" cy="2819400"/>
                    </a:xfrm>
                    <a:prstGeom prst="rect">
                      <a:avLst/>
                    </a:prstGeom>
                    <a:ln/>
                  </pic:spPr>
                </pic:pic>
              </a:graphicData>
            </a:graphic>
          </wp:inline>
        </w:drawing>
      </w:r>
      <w:r>
        <w:rPr>
          <w:rFonts w:ascii="Times New Roman" w:eastAsia="Times New Roman" w:hAnsi="Times New Roman" w:cs="Times New Roman"/>
          <w:b/>
          <w:bCs/>
          <w:sz w:val="24"/>
          <w:szCs w:val="24"/>
        </w:rPr>
        <w:t>Figure 4.13:</w:t>
      </w:r>
      <w:r>
        <w:rPr>
          <w:rFonts w:ascii="Times New Roman" w:eastAsia="Times New Roman" w:hAnsi="Times New Roman" w:cs="Times New Roman"/>
          <w:sz w:val="24"/>
          <w:szCs w:val="24"/>
        </w:rPr>
        <w:t xml:space="preserve"> Protein-ligand contact histogram 2J30 (Caspase 3). </w:t>
      </w:r>
      <w:r>
        <w:br w:type="page"/>
      </w:r>
    </w:p>
    <w:p w14:paraId="631D873C" w14:textId="77777777" w:rsidR="001469C4" w:rsidRDefault="00802A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0" distB="0" distL="0" distR="0" wp14:anchorId="73B489BC" wp14:editId="7014EF53">
            <wp:extent cx="5943600" cy="2946400"/>
            <wp:effectExtent l="0" t="0" r="0" b="0"/>
            <wp:docPr id="23" name="image7.png" descr="C:\Users\US\Downloads\3O96 data\images\PL-Contacts_Histogram.png"/>
            <wp:cNvGraphicFramePr/>
            <a:graphic xmlns:a="http://schemas.openxmlformats.org/drawingml/2006/main">
              <a:graphicData uri="http://schemas.openxmlformats.org/drawingml/2006/picture">
                <pic:pic xmlns:pic="http://schemas.openxmlformats.org/drawingml/2006/picture">
                  <pic:nvPicPr>
                    <pic:cNvPr id="0" name="image7.png" descr="C:\Users\US\Downloads\3O96 data\images\PL-Contacts_Histogram.png"/>
                    <pic:cNvPicPr preferRelativeResize="0"/>
                  </pic:nvPicPr>
                  <pic:blipFill>
                    <a:blip r:embed="rId29"/>
                    <a:srcRect/>
                    <a:stretch>
                      <a:fillRect/>
                    </a:stretch>
                  </pic:blipFill>
                  <pic:spPr>
                    <a:xfrm>
                      <a:off x="0" y="0"/>
                      <a:ext cx="5943600" cy="2946400"/>
                    </a:xfrm>
                    <a:prstGeom prst="rect">
                      <a:avLst/>
                    </a:prstGeom>
                    <a:ln/>
                  </pic:spPr>
                </pic:pic>
              </a:graphicData>
            </a:graphic>
          </wp:inline>
        </w:drawing>
      </w:r>
      <w:r>
        <w:rPr>
          <w:rFonts w:ascii="Times New Roman" w:eastAsia="Times New Roman" w:hAnsi="Times New Roman" w:cs="Times New Roman"/>
          <w:b/>
          <w:bCs/>
          <w:sz w:val="24"/>
          <w:szCs w:val="24"/>
        </w:rPr>
        <w:t>Figure 4.14:</w:t>
      </w:r>
      <w:r>
        <w:rPr>
          <w:rFonts w:ascii="Times New Roman" w:eastAsia="Times New Roman" w:hAnsi="Times New Roman" w:cs="Times New Roman"/>
          <w:sz w:val="24"/>
          <w:szCs w:val="24"/>
        </w:rPr>
        <w:t xml:space="preserve"> Protein-ligand contact histogram 3O96 (AKT1). </w:t>
      </w:r>
      <w:r>
        <w:br w:type="page"/>
      </w:r>
    </w:p>
    <w:p w14:paraId="7ED9F3DE" w14:textId="1425CBB2" w:rsidR="00683CBE" w:rsidRDefault="00802A6C">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0" distB="0" distL="0" distR="0" wp14:anchorId="6E2E3112" wp14:editId="7D1D6B5C">
            <wp:extent cx="5943600" cy="3319780"/>
            <wp:effectExtent l="0" t="0" r="0" b="0"/>
            <wp:docPr id="3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0"/>
                    <a:srcRect/>
                    <a:stretch>
                      <a:fillRect/>
                    </a:stretch>
                  </pic:blipFill>
                  <pic:spPr>
                    <a:xfrm>
                      <a:off x="0" y="0"/>
                      <a:ext cx="5943600" cy="3319780"/>
                    </a:xfrm>
                    <a:prstGeom prst="rect">
                      <a:avLst/>
                    </a:prstGeom>
                    <a:ln/>
                  </pic:spPr>
                </pic:pic>
              </a:graphicData>
            </a:graphic>
          </wp:inline>
        </w:drawing>
      </w:r>
      <w:r>
        <w:rPr>
          <w:rFonts w:ascii="Times New Roman" w:eastAsia="Times New Roman" w:hAnsi="Times New Roman" w:cs="Times New Roman"/>
          <w:b/>
          <w:bCs/>
          <w:sz w:val="24"/>
          <w:szCs w:val="24"/>
        </w:rPr>
        <w:t>Figure 4.15:</w:t>
      </w:r>
      <w:r>
        <w:rPr>
          <w:rFonts w:ascii="Times New Roman" w:eastAsia="Times New Roman" w:hAnsi="Times New Roman" w:cs="Times New Roman"/>
          <w:sz w:val="24"/>
          <w:szCs w:val="24"/>
        </w:rPr>
        <w:t xml:space="preserve"> Protein-ligand contact histogram 4JSV (mTOR). </w:t>
      </w:r>
    </w:p>
    <w:p w14:paraId="09041FAB" w14:textId="77777777" w:rsidR="00683CBE" w:rsidRDefault="00683CB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B43D3EC" w14:textId="68D7795F" w:rsidR="001469C4" w:rsidRPr="00683CBE" w:rsidRDefault="00683CBE">
      <w:pPr>
        <w:spacing w:line="480" w:lineRule="auto"/>
        <w:jc w:val="both"/>
        <w:rPr>
          <w:rFonts w:ascii="Times New Roman" w:eastAsia="Times New Roman" w:hAnsi="Times New Roman" w:cs="Times New Roman"/>
          <w:b/>
          <w:sz w:val="24"/>
          <w:szCs w:val="24"/>
        </w:rPr>
      </w:pPr>
      <w:r w:rsidRPr="00683CBE">
        <w:rPr>
          <w:rFonts w:ascii="Times New Roman" w:eastAsia="Times New Roman" w:hAnsi="Times New Roman" w:cs="Times New Roman"/>
          <w:b/>
          <w:sz w:val="24"/>
          <w:szCs w:val="24"/>
        </w:rPr>
        <w:lastRenderedPageBreak/>
        <w:t>4.2</w:t>
      </w:r>
      <w:r w:rsidRPr="00683CBE">
        <w:rPr>
          <w:rFonts w:ascii="Times New Roman" w:eastAsia="Times New Roman" w:hAnsi="Times New Roman" w:cs="Times New Roman"/>
          <w:b/>
          <w:sz w:val="24"/>
          <w:szCs w:val="24"/>
        </w:rPr>
        <w:tab/>
        <w:t xml:space="preserve">mRNA expression and qPCR quantification. </w:t>
      </w:r>
    </w:p>
    <w:p w14:paraId="59882C5E" w14:textId="45A93934" w:rsidR="006C0AFC" w:rsidRPr="006C0AFC" w:rsidRDefault="00CC1662" w:rsidP="006C0AFC">
      <w:pPr>
        <w:pBdr>
          <w:top w:val="nil"/>
          <w:left w:val="nil"/>
          <w:bottom w:val="nil"/>
          <w:right w:val="nil"/>
          <w:between w:val="nil"/>
        </w:pBdr>
        <w:spacing w:before="280"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4.16 show the relative expression of TP53 in the drosophila model of colorectal tumorigenesis. </w:t>
      </w:r>
      <w:r w:rsidR="00B21E9D">
        <w:rPr>
          <w:rFonts w:ascii="Times New Roman" w:hAnsi="Times New Roman" w:cs="Times New Roman"/>
          <w:sz w:val="24"/>
          <w:szCs w:val="24"/>
        </w:rPr>
        <w:t xml:space="preserve">Treatment with AOM alone significantly (p &lt; 0.05) downregulated the expression of the mRNA, signaling the possible loss of the activity of the tumor suppressor protein the modes. Beautifully, luteolin was able to reverse this in the treatment groups. </w:t>
      </w:r>
      <w:r w:rsidR="006C0AFC">
        <w:rPr>
          <w:rFonts w:ascii="Times New Roman" w:hAnsi="Times New Roman" w:cs="Times New Roman"/>
          <w:sz w:val="24"/>
          <w:szCs w:val="24"/>
        </w:rPr>
        <w:t>Figure 4.17 and 4.18 shows the relative expression of caspases 3 and 9. The administration of AOM significantly downregulated the mRNA levels of these genes; however, luteolin treatment was able to reverse the reduction in the amount of the reduction caused by the toxicant</w:t>
      </w:r>
      <w:r w:rsidR="006C0AFC" w:rsidRPr="006C0AFC">
        <w:rPr>
          <w:rFonts w:ascii="Times New Roman" w:hAnsi="Times New Roman" w:cs="Times New Roman"/>
          <w:sz w:val="24"/>
          <w:szCs w:val="24"/>
        </w:rPr>
        <w:t xml:space="preserve">.  </w:t>
      </w:r>
      <w:r w:rsidR="006C0AFC" w:rsidRPr="006C0AFC">
        <w:rPr>
          <w:rFonts w:ascii="Times New Roman" w:hAnsi="Times New Roman" w:cs="Times New Roman"/>
          <w:bCs/>
          <w:sz w:val="24"/>
          <w:szCs w:val="24"/>
          <w:lang w:val="en-US"/>
        </w:rPr>
        <w:t>Figure 4.19</w:t>
      </w:r>
      <w:r w:rsidR="006C0AFC" w:rsidRPr="006C0AFC">
        <w:rPr>
          <w:rFonts w:ascii="Times New Roman" w:hAnsi="Times New Roman" w:cs="Times New Roman"/>
          <w:sz w:val="24"/>
          <w:szCs w:val="24"/>
          <w:lang w:val="en-US"/>
        </w:rPr>
        <w:t xml:space="preserve"> shows the relative expression of </w:t>
      </w:r>
      <w:r w:rsidR="006C0AFC" w:rsidRPr="006C0AFC">
        <w:rPr>
          <w:rFonts w:ascii="Times New Roman" w:hAnsi="Times New Roman" w:cs="Times New Roman"/>
          <w:bCs/>
          <w:sz w:val="24"/>
          <w:szCs w:val="24"/>
          <w:lang w:val="en-US"/>
        </w:rPr>
        <w:t>c-MYC</w:t>
      </w:r>
      <w:r w:rsidR="006C0AFC" w:rsidRPr="006C0AFC">
        <w:rPr>
          <w:rFonts w:ascii="Times New Roman" w:hAnsi="Times New Roman" w:cs="Times New Roman"/>
          <w:sz w:val="24"/>
          <w:szCs w:val="24"/>
          <w:lang w:val="en-US"/>
        </w:rPr>
        <w:t xml:space="preserve"> in the Drosophila model of colorectal tumorigenesis. Administration of AOM significantly (p &lt; 0.05) upregulated the expression of c-MYC, suggesting enhanced cellular proliferation and tumor progression. Treatment with luteolin significantly reversed this increase, indicating its potential to suppress oncogenic signaling and uncontrolled cell growth.</w:t>
      </w:r>
    </w:p>
    <w:p w14:paraId="03178E04" w14:textId="499E96B4" w:rsidR="006C0AFC" w:rsidRPr="006C0AFC" w:rsidRDefault="006C0AFC" w:rsidP="006C0AFC">
      <w:pPr>
        <w:pBdr>
          <w:top w:val="nil"/>
          <w:left w:val="nil"/>
          <w:bottom w:val="nil"/>
          <w:right w:val="nil"/>
          <w:between w:val="nil"/>
        </w:pBdr>
        <w:spacing w:before="280" w:line="480" w:lineRule="auto"/>
        <w:jc w:val="both"/>
        <w:rPr>
          <w:rFonts w:ascii="Times New Roman" w:hAnsi="Times New Roman" w:cs="Times New Roman"/>
          <w:sz w:val="24"/>
          <w:szCs w:val="24"/>
          <w:lang w:val="en-US"/>
        </w:rPr>
      </w:pPr>
      <w:r w:rsidRPr="006C0AFC">
        <w:rPr>
          <w:rFonts w:ascii="Times New Roman" w:hAnsi="Times New Roman" w:cs="Times New Roman"/>
          <w:bCs/>
          <w:sz w:val="24"/>
          <w:szCs w:val="24"/>
          <w:lang w:val="en-US"/>
        </w:rPr>
        <w:t>Figure 4.20</w:t>
      </w:r>
      <w:r w:rsidRPr="006C0AFC">
        <w:rPr>
          <w:rFonts w:ascii="Times New Roman" w:hAnsi="Times New Roman" w:cs="Times New Roman"/>
          <w:sz w:val="24"/>
          <w:szCs w:val="24"/>
          <w:lang w:val="en-US"/>
        </w:rPr>
        <w:t xml:space="preserve"> presents the relative expression of </w:t>
      </w:r>
      <w:r w:rsidRPr="006C0AFC">
        <w:rPr>
          <w:rFonts w:ascii="Times New Roman" w:hAnsi="Times New Roman" w:cs="Times New Roman"/>
          <w:bCs/>
          <w:sz w:val="24"/>
          <w:szCs w:val="24"/>
          <w:lang w:val="en-US"/>
        </w:rPr>
        <w:t>mTOR</w:t>
      </w:r>
      <w:r w:rsidRPr="006C0AFC">
        <w:rPr>
          <w:rFonts w:ascii="Times New Roman" w:hAnsi="Times New Roman" w:cs="Times New Roman"/>
          <w:sz w:val="24"/>
          <w:szCs w:val="24"/>
          <w:lang w:val="en-US"/>
        </w:rPr>
        <w:t>. Exposure to AOM resulted in a significant (p &lt; 0.05) elevation in mTOR mRNA expression, reflecting activation of pathways associated with cell growth, survival, and metabolic regulation. Luteolin treatment markedly reduced mTOR expression toward normal levels, suggesting inhibition of mTOR-mediated tumor-promoting activities.</w:t>
      </w:r>
      <w:r>
        <w:rPr>
          <w:rFonts w:ascii="Times New Roman" w:hAnsi="Times New Roman" w:cs="Times New Roman"/>
          <w:sz w:val="24"/>
          <w:szCs w:val="24"/>
          <w:lang w:val="en-US"/>
        </w:rPr>
        <w:t xml:space="preserve"> </w:t>
      </w:r>
      <w:r w:rsidRPr="006C0AFC">
        <w:rPr>
          <w:rFonts w:ascii="Times New Roman" w:hAnsi="Times New Roman" w:cs="Times New Roman"/>
          <w:bCs/>
          <w:sz w:val="24"/>
          <w:szCs w:val="24"/>
          <w:lang w:val="en-US"/>
        </w:rPr>
        <w:t>Figure 4.21</w:t>
      </w:r>
      <w:r w:rsidRPr="006C0AFC">
        <w:rPr>
          <w:rFonts w:ascii="Times New Roman" w:hAnsi="Times New Roman" w:cs="Times New Roman"/>
          <w:sz w:val="24"/>
          <w:szCs w:val="24"/>
          <w:lang w:val="en-US"/>
        </w:rPr>
        <w:t xml:space="preserve"> shows the relative expression of </w:t>
      </w:r>
      <w:r w:rsidRPr="006C0AFC">
        <w:rPr>
          <w:rFonts w:ascii="Times New Roman" w:hAnsi="Times New Roman" w:cs="Times New Roman"/>
          <w:bCs/>
          <w:sz w:val="24"/>
          <w:szCs w:val="24"/>
          <w:lang w:val="en-US"/>
        </w:rPr>
        <w:t>CDKN1A (p21)</w:t>
      </w:r>
      <w:r w:rsidRPr="006C0AFC">
        <w:rPr>
          <w:rFonts w:ascii="Times New Roman" w:hAnsi="Times New Roman" w:cs="Times New Roman"/>
          <w:sz w:val="24"/>
          <w:szCs w:val="24"/>
          <w:lang w:val="en-US"/>
        </w:rPr>
        <w:t>. AOM administration significantly (p &lt; 0.05) reduced the expression of this cell-cycle regulatory gene, indicating impaired cell-cycle checkpoint control. However, treatment with luteolin significantly restored CDKN1A expression, suggesting the re-establishment of growth arrest mechanisms and protection against uncontrolled proliferation.</w:t>
      </w:r>
      <w:r>
        <w:rPr>
          <w:rFonts w:ascii="Times New Roman" w:hAnsi="Times New Roman" w:cs="Times New Roman"/>
          <w:sz w:val="24"/>
          <w:szCs w:val="24"/>
          <w:lang w:val="en-US"/>
        </w:rPr>
        <w:t xml:space="preserve"> </w:t>
      </w:r>
      <w:r w:rsidRPr="006C0AFC">
        <w:rPr>
          <w:rFonts w:ascii="Times New Roman" w:hAnsi="Times New Roman" w:cs="Times New Roman"/>
          <w:bCs/>
          <w:sz w:val="24"/>
          <w:szCs w:val="24"/>
          <w:lang w:val="en-US"/>
        </w:rPr>
        <w:t>Figure 4.22</w:t>
      </w:r>
      <w:r w:rsidRPr="006C0AFC">
        <w:rPr>
          <w:rFonts w:ascii="Times New Roman" w:hAnsi="Times New Roman" w:cs="Times New Roman"/>
          <w:sz w:val="24"/>
          <w:szCs w:val="24"/>
          <w:lang w:val="en-US"/>
        </w:rPr>
        <w:t xml:space="preserve"> illustrates the relative expression of </w:t>
      </w:r>
      <w:r w:rsidRPr="006C0AFC">
        <w:rPr>
          <w:rFonts w:ascii="Times New Roman" w:hAnsi="Times New Roman" w:cs="Times New Roman"/>
          <w:bCs/>
          <w:sz w:val="24"/>
          <w:szCs w:val="24"/>
          <w:lang w:val="en-US"/>
        </w:rPr>
        <w:t>BCL2</w:t>
      </w:r>
      <w:r w:rsidRPr="006C0AFC">
        <w:rPr>
          <w:rFonts w:ascii="Times New Roman" w:hAnsi="Times New Roman" w:cs="Times New Roman"/>
          <w:sz w:val="24"/>
          <w:szCs w:val="24"/>
          <w:lang w:val="en-US"/>
        </w:rPr>
        <w:t xml:space="preserve">. The toxicant significantly (p &lt; 0.05) increased BCL2 expression, reflecting enhanced anti-apoptotic activity and increased survival of </w:t>
      </w:r>
      <w:r w:rsidRPr="006C0AFC">
        <w:rPr>
          <w:rFonts w:ascii="Times New Roman" w:hAnsi="Times New Roman" w:cs="Times New Roman"/>
          <w:sz w:val="24"/>
          <w:szCs w:val="24"/>
          <w:lang w:val="en-US"/>
        </w:rPr>
        <w:lastRenderedPageBreak/>
        <w:t>transformed cells. Luteolin treatment significantly attenuated this upregulation, demonstrating its ability to promote apoptotic signaling and counteract tumor cell survival.</w:t>
      </w:r>
    </w:p>
    <w:p w14:paraId="39AFDB23" w14:textId="0E0D61E9" w:rsidR="006C0AFC" w:rsidRPr="006C0AFC" w:rsidRDefault="006C0AFC" w:rsidP="006C0AFC">
      <w:pPr>
        <w:pBdr>
          <w:top w:val="nil"/>
          <w:left w:val="nil"/>
          <w:bottom w:val="nil"/>
          <w:right w:val="nil"/>
          <w:between w:val="nil"/>
        </w:pBdr>
        <w:spacing w:before="280" w:line="480" w:lineRule="auto"/>
        <w:jc w:val="both"/>
        <w:rPr>
          <w:rFonts w:ascii="Times New Roman" w:hAnsi="Times New Roman" w:cs="Times New Roman"/>
          <w:sz w:val="24"/>
          <w:szCs w:val="24"/>
          <w:lang w:val="en-US"/>
        </w:rPr>
      </w:pPr>
      <w:r w:rsidRPr="006C0AFC">
        <w:rPr>
          <w:rFonts w:ascii="Times New Roman" w:hAnsi="Times New Roman" w:cs="Times New Roman"/>
          <w:bCs/>
          <w:sz w:val="24"/>
          <w:szCs w:val="24"/>
          <w:lang w:val="en-US"/>
        </w:rPr>
        <w:t>Figure 4.23</w:t>
      </w:r>
      <w:r w:rsidRPr="006C0AFC">
        <w:rPr>
          <w:rFonts w:ascii="Times New Roman" w:hAnsi="Times New Roman" w:cs="Times New Roman"/>
          <w:sz w:val="24"/>
          <w:szCs w:val="24"/>
          <w:lang w:val="en-US"/>
        </w:rPr>
        <w:t xml:space="preserve"> shows the relative expression of </w:t>
      </w:r>
      <w:r w:rsidRPr="006C0AFC">
        <w:rPr>
          <w:rFonts w:ascii="Times New Roman" w:hAnsi="Times New Roman" w:cs="Times New Roman"/>
          <w:bCs/>
          <w:sz w:val="24"/>
          <w:szCs w:val="24"/>
          <w:lang w:val="en-US"/>
        </w:rPr>
        <w:t>AKT1</w:t>
      </w:r>
      <w:r w:rsidRPr="006C0AFC">
        <w:rPr>
          <w:rFonts w:ascii="Times New Roman" w:hAnsi="Times New Roman" w:cs="Times New Roman"/>
          <w:sz w:val="24"/>
          <w:szCs w:val="24"/>
          <w:lang w:val="en-US"/>
        </w:rPr>
        <w:t>. Ad</w:t>
      </w:r>
      <w:r w:rsidR="00800F5D">
        <w:rPr>
          <w:rFonts w:ascii="Times New Roman" w:hAnsi="Times New Roman" w:cs="Times New Roman"/>
          <w:sz w:val="24"/>
          <w:szCs w:val="24"/>
          <w:lang w:val="en-US"/>
        </w:rPr>
        <w:t xml:space="preserve">57 </w:t>
      </w:r>
      <w:r w:rsidRPr="006C0AFC">
        <w:rPr>
          <w:rFonts w:ascii="Times New Roman" w:hAnsi="Times New Roman" w:cs="Times New Roman"/>
          <w:sz w:val="24"/>
          <w:szCs w:val="24"/>
          <w:lang w:val="en-US"/>
        </w:rPr>
        <w:t>ministration of AOM significantly (p &lt; 0.05) increased AKT1 mRNA expression, indicating activation of the PI3K/AKT signaling pathway, which is commonly associated with cell survival, proliferation, and resistance to apoptosis. Luteolin treatment effectively reversed this increase, suggesting suppression of AKT-mediated oncogenic signaling and a potential role in inhibiting colorectal tumor progression</w:t>
      </w:r>
    </w:p>
    <w:p w14:paraId="613BAA0F" w14:textId="77777777" w:rsidR="006C0AFC" w:rsidRDefault="006C0AFC">
      <w:pPr>
        <w:pBdr>
          <w:top w:val="nil"/>
          <w:left w:val="nil"/>
          <w:bottom w:val="nil"/>
          <w:right w:val="nil"/>
          <w:between w:val="nil"/>
        </w:pBdr>
        <w:spacing w:before="280" w:line="480" w:lineRule="auto"/>
        <w:rPr>
          <w:rFonts w:ascii="Times New Roman" w:hAnsi="Times New Roman" w:cs="Times New Roman"/>
          <w:sz w:val="24"/>
          <w:szCs w:val="24"/>
        </w:rPr>
      </w:pPr>
    </w:p>
    <w:p w14:paraId="0A6D7B25" w14:textId="433C729C" w:rsidR="001469C4" w:rsidRDefault="00B21E9D">
      <w:pPr>
        <w:pBdr>
          <w:top w:val="nil"/>
          <w:left w:val="nil"/>
          <w:bottom w:val="nil"/>
          <w:right w:val="nil"/>
          <w:between w:val="nil"/>
        </w:pBdr>
        <w:spacing w:before="280" w:line="480" w:lineRule="auto"/>
        <w:rPr>
          <w:rFonts w:ascii="Times New Roman" w:eastAsia="Times New Roman" w:hAnsi="Times New Roman" w:cs="Times New Roman"/>
          <w:sz w:val="24"/>
          <w:szCs w:val="24"/>
        </w:rPr>
      </w:pPr>
      <w:r>
        <w:rPr>
          <w:rFonts w:ascii="Times New Roman" w:hAnsi="Times New Roman" w:cs="Times New Roman"/>
          <w:sz w:val="24"/>
          <w:szCs w:val="24"/>
        </w:rPr>
        <w:t xml:space="preserve"> </w:t>
      </w:r>
      <w:r w:rsidR="00CC1662">
        <w:rPr>
          <w:rFonts w:ascii="Times New Roman" w:hAnsi="Times New Roman" w:cs="Times New Roman"/>
          <w:sz w:val="24"/>
          <w:szCs w:val="24"/>
        </w:rPr>
        <w:t xml:space="preserve"> </w:t>
      </w:r>
      <w:r w:rsidR="00802A6C">
        <w:br w:type="page"/>
      </w:r>
    </w:p>
    <w:p w14:paraId="2519F8B5" w14:textId="77777777" w:rsidR="001469C4" w:rsidRDefault="00802A6C">
      <w:pPr>
        <w:pBdr>
          <w:top w:val="nil"/>
          <w:left w:val="nil"/>
          <w:bottom w:val="nil"/>
          <w:right w:val="nil"/>
          <w:between w:val="nil"/>
        </w:pBdr>
        <w:spacing w:before="28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114300" distB="114300" distL="114300" distR="114300" wp14:anchorId="6CAC90F2" wp14:editId="33417CBD">
            <wp:extent cx="5943600" cy="4711700"/>
            <wp:effectExtent l="0" t="0" r="0" b="0"/>
            <wp:docPr id="13"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1"/>
                    <a:srcRect/>
                    <a:stretch>
                      <a:fillRect/>
                    </a:stretch>
                  </pic:blipFill>
                  <pic:spPr>
                    <a:xfrm>
                      <a:off x="0" y="0"/>
                      <a:ext cx="5943600" cy="4711700"/>
                    </a:xfrm>
                    <a:prstGeom prst="rect">
                      <a:avLst/>
                    </a:prstGeom>
                    <a:ln/>
                  </pic:spPr>
                </pic:pic>
              </a:graphicData>
            </a:graphic>
          </wp:inline>
        </w:drawing>
      </w:r>
    </w:p>
    <w:p w14:paraId="70670F6B" w14:textId="77777777" w:rsidR="001469C4" w:rsidRDefault="00802A6C">
      <w:pPr>
        <w:pBdr>
          <w:top w:val="nil"/>
          <w:left w:val="nil"/>
          <w:bottom w:val="nil"/>
          <w:right w:val="nil"/>
          <w:between w:val="nil"/>
        </w:pBdr>
        <w:spacing w:before="280"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Figure 4.16: </w:t>
      </w:r>
      <w:r>
        <w:rPr>
          <w:rFonts w:ascii="Times New Roman" w:eastAsia="Times New Roman" w:hAnsi="Times New Roman" w:cs="Times New Roman"/>
          <w:sz w:val="24"/>
          <w:szCs w:val="24"/>
        </w:rPr>
        <w:t xml:space="preserve">mRNA expression of TP53. Graph represents snapshot of RT-PCR-agarose gel electrophoresis data of AOM and Luteolin fed Drosophila model. Band density was made by Image-J and plotted as </w:t>
      </w:r>
      <w:r w:rsidRPr="00533313">
        <w:rPr>
          <w:rFonts w:ascii="Times New Roman" w:eastAsia="Times New Roman" w:hAnsi="Times New Roman" w:cs="Times New Roman"/>
          <w:color w:val="000000" w:themeColor="text1"/>
          <w:sz w:val="26"/>
          <w:szCs w:val="26"/>
          <w:shd w:val="clear" w:color="auto" w:fill="FFFCF0"/>
        </w:rPr>
        <w:t>mean ± SEM.</w:t>
      </w:r>
    </w:p>
    <w:p w14:paraId="3CC769A4" w14:textId="77777777" w:rsidR="001469C4" w:rsidRDefault="001469C4">
      <w:pPr>
        <w:pBdr>
          <w:top w:val="nil"/>
          <w:left w:val="nil"/>
          <w:bottom w:val="nil"/>
          <w:right w:val="nil"/>
          <w:between w:val="nil"/>
        </w:pBdr>
        <w:spacing w:before="280" w:line="480" w:lineRule="auto"/>
        <w:rPr>
          <w:rFonts w:ascii="Times New Roman" w:eastAsia="Times New Roman" w:hAnsi="Times New Roman" w:cs="Times New Roman"/>
          <w:sz w:val="24"/>
          <w:szCs w:val="24"/>
        </w:rPr>
      </w:pPr>
    </w:p>
    <w:p w14:paraId="492C9677" w14:textId="77777777" w:rsidR="001469C4" w:rsidRDefault="00802A6C">
      <w:pPr>
        <w:pBdr>
          <w:top w:val="nil"/>
          <w:left w:val="nil"/>
          <w:bottom w:val="nil"/>
          <w:right w:val="nil"/>
          <w:between w:val="nil"/>
        </w:pBdr>
        <w:spacing w:before="28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114300" distB="114300" distL="114300" distR="114300" wp14:anchorId="725B3CFE" wp14:editId="313FD06A">
            <wp:extent cx="5943600" cy="4762500"/>
            <wp:effectExtent l="0" t="0" r="0" b="0"/>
            <wp:docPr id="3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2"/>
                    <a:srcRect/>
                    <a:stretch>
                      <a:fillRect/>
                    </a:stretch>
                  </pic:blipFill>
                  <pic:spPr>
                    <a:xfrm>
                      <a:off x="0" y="0"/>
                      <a:ext cx="5943600" cy="4762500"/>
                    </a:xfrm>
                    <a:prstGeom prst="rect">
                      <a:avLst/>
                    </a:prstGeom>
                    <a:ln/>
                  </pic:spPr>
                </pic:pic>
              </a:graphicData>
            </a:graphic>
          </wp:inline>
        </w:drawing>
      </w:r>
    </w:p>
    <w:p w14:paraId="4E951D8F" w14:textId="77777777" w:rsidR="001469C4" w:rsidRDefault="00802A6C">
      <w:pPr>
        <w:pBdr>
          <w:top w:val="nil"/>
          <w:left w:val="nil"/>
          <w:bottom w:val="nil"/>
          <w:right w:val="nil"/>
          <w:between w:val="nil"/>
        </w:pBdr>
        <w:spacing w:before="280"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Figure 4.17:</w:t>
      </w:r>
      <w:r>
        <w:rPr>
          <w:rFonts w:ascii="Times New Roman" w:eastAsia="Times New Roman" w:hAnsi="Times New Roman" w:cs="Times New Roman"/>
          <w:sz w:val="24"/>
          <w:szCs w:val="24"/>
        </w:rPr>
        <w:t xml:space="preserve"> mRNA expression of Caspase 3.  Graph represents snapshot of RT-PCR-agarose gel electrophoresis data of AOM and Luteolin fed Drosophila model. Band density was made by Image-J and plotted as </w:t>
      </w:r>
      <w:r>
        <w:rPr>
          <w:rFonts w:ascii="Times New Roman" w:eastAsia="Times New Roman" w:hAnsi="Times New Roman" w:cs="Times New Roman"/>
          <w:color w:val="1B1B1B"/>
          <w:sz w:val="26"/>
          <w:szCs w:val="26"/>
          <w:shd w:val="clear" w:color="auto" w:fill="FFFCF0"/>
        </w:rPr>
        <w:t>mean ± SEM</w:t>
      </w:r>
      <w:r>
        <w:br w:type="page"/>
      </w:r>
    </w:p>
    <w:p w14:paraId="499BD7FB" w14:textId="77777777" w:rsidR="001469C4" w:rsidRDefault="00802A6C">
      <w:pPr>
        <w:pBdr>
          <w:top w:val="nil"/>
          <w:left w:val="nil"/>
          <w:bottom w:val="nil"/>
          <w:right w:val="nil"/>
          <w:between w:val="nil"/>
        </w:pBdr>
        <w:spacing w:before="28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114300" distB="114300" distL="114300" distR="114300" wp14:anchorId="782B3AF6" wp14:editId="2D81E202">
            <wp:extent cx="5943600" cy="4673600"/>
            <wp:effectExtent l="0" t="0" r="0" b="0"/>
            <wp:docPr id="28"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33"/>
                    <a:srcRect/>
                    <a:stretch>
                      <a:fillRect/>
                    </a:stretch>
                  </pic:blipFill>
                  <pic:spPr>
                    <a:xfrm>
                      <a:off x="0" y="0"/>
                      <a:ext cx="5943600" cy="4673600"/>
                    </a:xfrm>
                    <a:prstGeom prst="rect">
                      <a:avLst/>
                    </a:prstGeom>
                    <a:ln/>
                  </pic:spPr>
                </pic:pic>
              </a:graphicData>
            </a:graphic>
          </wp:inline>
        </w:drawing>
      </w:r>
    </w:p>
    <w:p w14:paraId="7AB99AA3" w14:textId="77777777" w:rsidR="001469C4" w:rsidRDefault="00802A6C">
      <w:pPr>
        <w:pBdr>
          <w:top w:val="nil"/>
          <w:left w:val="nil"/>
          <w:bottom w:val="nil"/>
          <w:right w:val="nil"/>
          <w:between w:val="nil"/>
        </w:pBdr>
        <w:spacing w:before="280"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Figure 4.18:</w:t>
      </w:r>
      <w:r>
        <w:rPr>
          <w:rFonts w:ascii="Times New Roman" w:eastAsia="Times New Roman" w:hAnsi="Times New Roman" w:cs="Times New Roman"/>
          <w:sz w:val="24"/>
          <w:szCs w:val="24"/>
        </w:rPr>
        <w:t xml:space="preserve"> mRNA expression of Caspase 9.  Graph represents snapshot of RT-PCR-agarose gel electrophoresis data of AOM and Luteolin fed Drosophila model. Band density was made by Image-J and plotted as </w:t>
      </w:r>
      <w:r>
        <w:rPr>
          <w:rFonts w:ascii="Times New Roman" w:eastAsia="Times New Roman" w:hAnsi="Times New Roman" w:cs="Times New Roman"/>
          <w:color w:val="1B1B1B"/>
          <w:sz w:val="26"/>
          <w:szCs w:val="26"/>
          <w:shd w:val="clear" w:color="auto" w:fill="FFFCF0"/>
        </w:rPr>
        <w:t>mean ± SEM</w:t>
      </w:r>
      <w:r>
        <w:br w:type="page"/>
      </w:r>
    </w:p>
    <w:p w14:paraId="3D6E52FB" w14:textId="77777777" w:rsidR="001469C4" w:rsidRDefault="00802A6C">
      <w:pPr>
        <w:pBdr>
          <w:top w:val="nil"/>
          <w:left w:val="nil"/>
          <w:bottom w:val="nil"/>
          <w:right w:val="nil"/>
          <w:between w:val="nil"/>
        </w:pBdr>
        <w:spacing w:before="28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114300" distB="114300" distL="114300" distR="114300" wp14:anchorId="6AC83D44" wp14:editId="1EE3520A">
            <wp:extent cx="5943600" cy="4673600"/>
            <wp:effectExtent l="0" t="0" r="0" b="0"/>
            <wp:docPr id="3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4"/>
                    <a:srcRect/>
                    <a:stretch>
                      <a:fillRect/>
                    </a:stretch>
                  </pic:blipFill>
                  <pic:spPr>
                    <a:xfrm>
                      <a:off x="0" y="0"/>
                      <a:ext cx="5943600" cy="4673600"/>
                    </a:xfrm>
                    <a:prstGeom prst="rect">
                      <a:avLst/>
                    </a:prstGeom>
                    <a:ln/>
                  </pic:spPr>
                </pic:pic>
              </a:graphicData>
            </a:graphic>
          </wp:inline>
        </w:drawing>
      </w:r>
      <w:r>
        <w:rPr>
          <w:rFonts w:ascii="Times New Roman" w:eastAsia="Times New Roman" w:hAnsi="Times New Roman" w:cs="Times New Roman"/>
          <w:b/>
          <w:bCs/>
          <w:sz w:val="24"/>
          <w:szCs w:val="24"/>
        </w:rPr>
        <w:t>Figure 4.19:</w:t>
      </w:r>
      <w:r>
        <w:rPr>
          <w:rFonts w:ascii="Times New Roman" w:eastAsia="Times New Roman" w:hAnsi="Times New Roman" w:cs="Times New Roman"/>
          <w:sz w:val="24"/>
          <w:szCs w:val="24"/>
        </w:rPr>
        <w:t xml:space="preserve"> mRNA expression of c-MYC.  Graph represents snapshot of RT-PCR-agarose gel electrophoresis data of AOM and Luteolin fed Drosophila model. Band density was made by Image-J and plotted as </w:t>
      </w:r>
      <w:r>
        <w:rPr>
          <w:rFonts w:ascii="Times New Roman" w:eastAsia="Times New Roman" w:hAnsi="Times New Roman" w:cs="Times New Roman"/>
          <w:color w:val="1B1B1B"/>
          <w:sz w:val="26"/>
          <w:szCs w:val="26"/>
          <w:shd w:val="clear" w:color="auto" w:fill="FFFCF0"/>
        </w:rPr>
        <w:t>mean ± SEM</w:t>
      </w:r>
      <w:r>
        <w:br w:type="page"/>
      </w:r>
    </w:p>
    <w:p w14:paraId="4C723316" w14:textId="77777777" w:rsidR="001469C4" w:rsidRDefault="00802A6C">
      <w:pPr>
        <w:pBdr>
          <w:top w:val="nil"/>
          <w:left w:val="nil"/>
          <w:bottom w:val="nil"/>
          <w:right w:val="nil"/>
          <w:between w:val="nil"/>
        </w:pBdr>
        <w:spacing w:before="28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114300" distB="114300" distL="114300" distR="114300" wp14:anchorId="11CF18AF" wp14:editId="50F2BD40">
            <wp:extent cx="5943600" cy="4648200"/>
            <wp:effectExtent l="0" t="0" r="0" b="0"/>
            <wp:docPr id="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5"/>
                    <a:srcRect/>
                    <a:stretch>
                      <a:fillRect/>
                    </a:stretch>
                  </pic:blipFill>
                  <pic:spPr>
                    <a:xfrm>
                      <a:off x="0" y="0"/>
                      <a:ext cx="5943600" cy="4648200"/>
                    </a:xfrm>
                    <a:prstGeom prst="rect">
                      <a:avLst/>
                    </a:prstGeom>
                    <a:ln/>
                  </pic:spPr>
                </pic:pic>
              </a:graphicData>
            </a:graphic>
          </wp:inline>
        </w:drawing>
      </w:r>
      <w:r>
        <w:rPr>
          <w:rFonts w:ascii="Times New Roman" w:eastAsia="Times New Roman" w:hAnsi="Times New Roman" w:cs="Times New Roman"/>
          <w:b/>
          <w:bCs/>
          <w:sz w:val="24"/>
          <w:szCs w:val="24"/>
        </w:rPr>
        <w:t>Figure 4.20:</w:t>
      </w:r>
      <w:r>
        <w:rPr>
          <w:rFonts w:ascii="Times New Roman" w:eastAsia="Times New Roman" w:hAnsi="Times New Roman" w:cs="Times New Roman"/>
          <w:sz w:val="24"/>
          <w:szCs w:val="24"/>
        </w:rPr>
        <w:t xml:space="preserve"> mRNA expression of mTOR.  Graph represents snapshot of RT-PCR-agarose gel electrophoresis data of AOM and Luteolin fed Drosophila model. Band density was made by Image-J and plotted as </w:t>
      </w:r>
      <w:r>
        <w:rPr>
          <w:rFonts w:ascii="Times New Roman" w:eastAsia="Times New Roman" w:hAnsi="Times New Roman" w:cs="Times New Roman"/>
          <w:color w:val="1B1B1B"/>
          <w:sz w:val="26"/>
          <w:szCs w:val="26"/>
          <w:shd w:val="clear" w:color="auto" w:fill="FFFCF0"/>
        </w:rPr>
        <w:t>mean ± SEM</w:t>
      </w:r>
      <w:r>
        <w:br w:type="page"/>
      </w:r>
    </w:p>
    <w:p w14:paraId="541EACE8" w14:textId="77777777" w:rsidR="001469C4" w:rsidRDefault="00802A6C">
      <w:pPr>
        <w:pBdr>
          <w:top w:val="nil"/>
          <w:left w:val="nil"/>
          <w:bottom w:val="nil"/>
          <w:right w:val="nil"/>
          <w:between w:val="nil"/>
        </w:pBdr>
        <w:spacing w:before="28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114300" distB="114300" distL="114300" distR="114300" wp14:anchorId="0B532BA0" wp14:editId="10BD57C5">
            <wp:extent cx="5943600" cy="4711700"/>
            <wp:effectExtent l="0" t="0" r="0" b="0"/>
            <wp:docPr id="2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6"/>
                    <a:srcRect/>
                    <a:stretch>
                      <a:fillRect/>
                    </a:stretch>
                  </pic:blipFill>
                  <pic:spPr>
                    <a:xfrm>
                      <a:off x="0" y="0"/>
                      <a:ext cx="5943600" cy="4711700"/>
                    </a:xfrm>
                    <a:prstGeom prst="rect">
                      <a:avLst/>
                    </a:prstGeom>
                    <a:ln/>
                  </pic:spPr>
                </pic:pic>
              </a:graphicData>
            </a:graphic>
          </wp:inline>
        </w:drawing>
      </w:r>
      <w:r>
        <w:rPr>
          <w:rFonts w:ascii="Times New Roman" w:eastAsia="Times New Roman" w:hAnsi="Times New Roman" w:cs="Times New Roman"/>
          <w:b/>
          <w:bCs/>
          <w:sz w:val="24"/>
          <w:szCs w:val="24"/>
        </w:rPr>
        <w:t>Figure 4.21:</w:t>
      </w:r>
      <w:r>
        <w:rPr>
          <w:rFonts w:ascii="Times New Roman" w:eastAsia="Times New Roman" w:hAnsi="Times New Roman" w:cs="Times New Roman"/>
          <w:sz w:val="24"/>
          <w:szCs w:val="24"/>
        </w:rPr>
        <w:t xml:space="preserve"> mRNA expression of CDKN1A.  Graph represents snapshot of RT-PCR-agarose gel electrophoresis data of AOM and Luteolin fed Drosophila model. Band density was made by Image-J and plotted as </w:t>
      </w:r>
      <w:r>
        <w:rPr>
          <w:rFonts w:ascii="Times New Roman" w:eastAsia="Times New Roman" w:hAnsi="Times New Roman" w:cs="Times New Roman"/>
          <w:color w:val="1B1B1B"/>
          <w:sz w:val="26"/>
          <w:szCs w:val="26"/>
          <w:shd w:val="clear" w:color="auto" w:fill="FFFCF0"/>
        </w:rPr>
        <w:t>mean ± SEM</w:t>
      </w:r>
      <w:r>
        <w:br w:type="page"/>
      </w:r>
    </w:p>
    <w:p w14:paraId="37DC18EC" w14:textId="77777777" w:rsidR="001469C4" w:rsidRDefault="00802A6C">
      <w:pPr>
        <w:pBdr>
          <w:top w:val="nil"/>
          <w:left w:val="nil"/>
          <w:bottom w:val="nil"/>
          <w:right w:val="nil"/>
          <w:between w:val="nil"/>
        </w:pBdr>
        <w:spacing w:before="28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114300" distB="114300" distL="114300" distR="114300" wp14:anchorId="4ADCCE59" wp14:editId="13E50580">
            <wp:extent cx="5943600" cy="4610100"/>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7"/>
                    <a:srcRect/>
                    <a:stretch>
                      <a:fillRect/>
                    </a:stretch>
                  </pic:blipFill>
                  <pic:spPr>
                    <a:xfrm>
                      <a:off x="0" y="0"/>
                      <a:ext cx="5943600" cy="4610100"/>
                    </a:xfrm>
                    <a:prstGeom prst="rect">
                      <a:avLst/>
                    </a:prstGeom>
                    <a:ln/>
                  </pic:spPr>
                </pic:pic>
              </a:graphicData>
            </a:graphic>
          </wp:inline>
        </w:drawing>
      </w:r>
      <w:r>
        <w:rPr>
          <w:rFonts w:ascii="Times New Roman" w:eastAsia="Times New Roman" w:hAnsi="Times New Roman" w:cs="Times New Roman"/>
          <w:b/>
          <w:bCs/>
          <w:sz w:val="24"/>
          <w:szCs w:val="24"/>
        </w:rPr>
        <w:t>Figure 4.22:</w:t>
      </w:r>
      <w:r>
        <w:rPr>
          <w:rFonts w:ascii="Times New Roman" w:eastAsia="Times New Roman" w:hAnsi="Times New Roman" w:cs="Times New Roman"/>
          <w:sz w:val="24"/>
          <w:szCs w:val="24"/>
        </w:rPr>
        <w:t xml:space="preserve"> mRNA expression of BCL 2.  Graph represents snapshot of RT-PCR-agarose gel electrophoresis data of AOM and Luteolin fed Drosophila model. Band density was made by Image-J and plotted as </w:t>
      </w:r>
      <w:r>
        <w:rPr>
          <w:rFonts w:ascii="Times New Roman" w:eastAsia="Times New Roman" w:hAnsi="Times New Roman" w:cs="Times New Roman"/>
          <w:color w:val="1B1B1B"/>
          <w:sz w:val="26"/>
          <w:szCs w:val="26"/>
          <w:shd w:val="clear" w:color="auto" w:fill="FFFCF0"/>
        </w:rPr>
        <w:t>mean ± SEM</w:t>
      </w:r>
      <w:r>
        <w:br w:type="page"/>
      </w:r>
    </w:p>
    <w:p w14:paraId="11B4EB02" w14:textId="77777777" w:rsidR="001469C4" w:rsidRDefault="00802A6C">
      <w:pPr>
        <w:pBdr>
          <w:top w:val="nil"/>
          <w:left w:val="nil"/>
          <w:bottom w:val="nil"/>
          <w:right w:val="nil"/>
          <w:between w:val="nil"/>
        </w:pBdr>
        <w:spacing w:before="28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114300" distB="114300" distL="114300" distR="114300" wp14:anchorId="5410B8D2" wp14:editId="208F2868">
            <wp:extent cx="5943600" cy="4546600"/>
            <wp:effectExtent l="0" t="0" r="0" b="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8"/>
                    <a:srcRect/>
                    <a:stretch>
                      <a:fillRect/>
                    </a:stretch>
                  </pic:blipFill>
                  <pic:spPr>
                    <a:xfrm>
                      <a:off x="0" y="0"/>
                      <a:ext cx="5943600" cy="4546600"/>
                    </a:xfrm>
                    <a:prstGeom prst="rect">
                      <a:avLst/>
                    </a:prstGeom>
                    <a:ln/>
                  </pic:spPr>
                </pic:pic>
              </a:graphicData>
            </a:graphic>
          </wp:inline>
        </w:drawing>
      </w:r>
    </w:p>
    <w:p w14:paraId="64A853F6" w14:textId="77777777" w:rsidR="001469C4" w:rsidRDefault="00802A6C">
      <w:pPr>
        <w:spacing w:before="280"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Figure 4.23:</w:t>
      </w:r>
      <w:r>
        <w:rPr>
          <w:rFonts w:ascii="Times New Roman" w:eastAsia="Times New Roman" w:hAnsi="Times New Roman" w:cs="Times New Roman"/>
          <w:sz w:val="24"/>
          <w:szCs w:val="24"/>
        </w:rPr>
        <w:t xml:space="preserve"> mRNA expression of AKT1.  Graph represents snapshot of RT-PCR-agarose gel electrophoresis data of AOM and Luteolin fed Drosophila model. Band density was made by Image-J and plotted as </w:t>
      </w:r>
      <w:r>
        <w:rPr>
          <w:rFonts w:ascii="Times New Roman" w:eastAsia="Times New Roman" w:hAnsi="Times New Roman" w:cs="Times New Roman"/>
          <w:color w:val="1B1B1B"/>
          <w:sz w:val="26"/>
          <w:szCs w:val="26"/>
          <w:shd w:val="clear" w:color="auto" w:fill="FFFCF0"/>
        </w:rPr>
        <w:t>mean ± SEM</w:t>
      </w:r>
      <w:r>
        <w:br w:type="page"/>
      </w:r>
    </w:p>
    <w:p w14:paraId="28A9F2F7" w14:textId="47B4B63B" w:rsidR="001469C4" w:rsidRDefault="009F38B4" w:rsidP="00940A17">
      <w:pPr>
        <w:pStyle w:val="Heading8"/>
        <w:rPr>
          <w:rFonts w:eastAsia="Times New Roman"/>
        </w:rPr>
      </w:pPr>
      <w:r>
        <w:rPr>
          <w:rFonts w:eastAsia="Times New Roman"/>
        </w:rPr>
        <w:lastRenderedPageBreak/>
        <w:t>4.3</w:t>
      </w:r>
      <w:r w:rsidR="00802A6C">
        <w:rPr>
          <w:rFonts w:eastAsia="Times New Roman"/>
        </w:rPr>
        <w:tab/>
        <w:t>Discussion</w:t>
      </w:r>
    </w:p>
    <w:p w14:paraId="3C5A27E5" w14:textId="35B4C4C6" w:rsidR="004E11C9" w:rsidRPr="00CE0507" w:rsidRDefault="004E11C9" w:rsidP="004E11C9">
      <w:pPr>
        <w:spacing w:line="480" w:lineRule="auto"/>
        <w:jc w:val="both"/>
        <w:rPr>
          <w:rFonts w:ascii="Times New Roman" w:hAnsi="Times New Roman" w:cs="Times New Roman"/>
          <w:sz w:val="24"/>
          <w:szCs w:val="24"/>
        </w:rPr>
      </w:pPr>
      <w:r w:rsidRPr="00CE0507">
        <w:rPr>
          <w:rFonts w:ascii="Times New Roman" w:hAnsi="Times New Roman" w:cs="Times New Roman"/>
          <w:sz w:val="24"/>
          <w:szCs w:val="24"/>
        </w:rPr>
        <w:t>Globally</w:t>
      </w:r>
      <w:r>
        <w:rPr>
          <w:rFonts w:ascii="Times New Roman" w:hAnsi="Times New Roman" w:cs="Times New Roman"/>
          <w:sz w:val="24"/>
          <w:szCs w:val="24"/>
        </w:rPr>
        <w:t>,</w:t>
      </w:r>
      <w:r w:rsidRPr="00CE0507">
        <w:rPr>
          <w:rFonts w:ascii="Times New Roman" w:hAnsi="Times New Roman" w:cs="Times New Roman"/>
          <w:sz w:val="24"/>
          <w:szCs w:val="24"/>
        </w:rPr>
        <w:t xml:space="preserve"> CRC is one of the biggest challenges in modern oncology, accounting for some 1.93 million new cases and </w:t>
      </w:r>
      <w:r>
        <w:rPr>
          <w:rFonts w:ascii="Times New Roman" w:hAnsi="Times New Roman" w:cs="Times New Roman"/>
          <w:sz w:val="24"/>
          <w:szCs w:val="24"/>
        </w:rPr>
        <w:t xml:space="preserve">nearly 916,000 deaths each year </w:t>
      </w:r>
      <w:r>
        <w:rPr>
          <w:rFonts w:ascii="Times New Roman" w:eastAsia="Times New Roman" w:hAnsi="Times New Roman" w:cs="Times New Roman"/>
          <w:sz w:val="24"/>
          <w:szCs w:val="24"/>
        </w:rPr>
        <w:t xml:space="preserve">(Sukrueangkul </w:t>
      </w:r>
      <w:r w:rsidR="00424714" w:rsidRPr="00424714">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2024)</w:t>
      </w:r>
      <w:r w:rsidRPr="00CE0507">
        <w:rPr>
          <w:rFonts w:ascii="Times New Roman" w:hAnsi="Times New Roman" w:cs="Times New Roman"/>
          <w:sz w:val="24"/>
          <w:szCs w:val="24"/>
        </w:rPr>
        <w:t xml:space="preserve">. In high-income countries, strong screening programs have helped to level off incidence, but in Sub-Saharan Africa, screening is subject to a concern surge every </w:t>
      </w:r>
      <w:r>
        <w:rPr>
          <w:rFonts w:ascii="Times New Roman" w:hAnsi="Times New Roman" w:cs="Times New Roman"/>
          <w:sz w:val="24"/>
          <w:szCs w:val="24"/>
        </w:rPr>
        <w:t>year, with the growth of urbaniz</w:t>
      </w:r>
      <w:r w:rsidRPr="00CE0507">
        <w:rPr>
          <w:rFonts w:ascii="Times New Roman" w:hAnsi="Times New Roman" w:cs="Times New Roman"/>
          <w:sz w:val="24"/>
          <w:szCs w:val="24"/>
        </w:rPr>
        <w:t>ation a</w:t>
      </w:r>
      <w:r>
        <w:rPr>
          <w:rFonts w:ascii="Times New Roman" w:hAnsi="Times New Roman" w:cs="Times New Roman"/>
          <w:sz w:val="24"/>
          <w:szCs w:val="24"/>
        </w:rPr>
        <w:t>nd the introduction of westerniz</w:t>
      </w:r>
      <w:r w:rsidRPr="00CE0507">
        <w:rPr>
          <w:rFonts w:ascii="Times New Roman" w:hAnsi="Times New Roman" w:cs="Times New Roman"/>
          <w:sz w:val="24"/>
          <w:szCs w:val="24"/>
        </w:rPr>
        <w:t>ed diets</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(Moen </w:t>
      </w:r>
      <w:r w:rsidR="00424714" w:rsidRPr="00424714">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2024)</w:t>
      </w:r>
      <w:r w:rsidRPr="00CE0507">
        <w:rPr>
          <w:rFonts w:ascii="Times New Roman" w:hAnsi="Times New Roman" w:cs="Times New Roman"/>
          <w:sz w:val="24"/>
          <w:szCs w:val="24"/>
        </w:rPr>
        <w:t>. Nigeria, however, is having a particularly severe crisis with more than 7,000 new cases annually, and an abysmal 5-year survival rate of less than 10%, compared t</w:t>
      </w:r>
      <w:r>
        <w:rPr>
          <w:rFonts w:ascii="Times New Roman" w:hAnsi="Times New Roman" w:cs="Times New Roman"/>
          <w:sz w:val="24"/>
          <w:szCs w:val="24"/>
        </w:rPr>
        <w:t xml:space="preserve">o the global average of 64% </w:t>
      </w:r>
      <w:r>
        <w:rPr>
          <w:rFonts w:ascii="Times New Roman" w:eastAsia="Times New Roman" w:hAnsi="Times New Roman" w:cs="Times New Roman"/>
          <w:sz w:val="24"/>
          <w:szCs w:val="24"/>
        </w:rPr>
        <w:t xml:space="preserve">(Alatise </w:t>
      </w:r>
      <w:r w:rsidR="00424714" w:rsidRPr="00424714">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2025)</w:t>
      </w:r>
      <w:r w:rsidRPr="00CE0507">
        <w:rPr>
          <w:rFonts w:ascii="Times New Roman" w:hAnsi="Times New Roman" w:cs="Times New Roman"/>
          <w:sz w:val="24"/>
          <w:szCs w:val="24"/>
        </w:rPr>
        <w:t>. This is further complicated by the fact that the existing treatments are often poor, with the use of standard drugs such as 5-fluorouracil (5-FU) becoming ineffective because of the drug resistance associated with ATP-binding cassette transporters and the use of targeted drugs such as cetuximab being ineffective because of the heterogeneity of the tumor and the redundancy of signaling</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(Azwar </w:t>
      </w:r>
      <w:r w:rsidR="00424714" w:rsidRPr="00424714">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xml:space="preserve">., 2025; Bakillah </w:t>
      </w:r>
      <w:r w:rsidR="00424714" w:rsidRPr="00424714">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2025)</w:t>
      </w:r>
      <w:r w:rsidRPr="00CE0507">
        <w:rPr>
          <w:rFonts w:ascii="Times New Roman" w:hAnsi="Times New Roman" w:cs="Times New Roman"/>
          <w:sz w:val="24"/>
          <w:szCs w:val="24"/>
        </w:rPr>
        <w:t>. Hence, it is imperative to develop a polypharmacological intervention strategy, instead of the reductive single-target approach, and implement a network-based approach using compounds with pleiotropic activity, such as luteolin, phytochemicals.</w:t>
      </w:r>
    </w:p>
    <w:p w14:paraId="69B9429F" w14:textId="3C162EC5" w:rsidR="004E11C9" w:rsidRPr="00CE0507" w:rsidRDefault="004E11C9" w:rsidP="004E11C9">
      <w:pPr>
        <w:spacing w:line="480" w:lineRule="auto"/>
        <w:jc w:val="both"/>
        <w:rPr>
          <w:rFonts w:ascii="Times New Roman" w:hAnsi="Times New Roman" w:cs="Times New Roman"/>
          <w:sz w:val="24"/>
          <w:szCs w:val="24"/>
        </w:rPr>
      </w:pPr>
      <w:r w:rsidRPr="00CE0507">
        <w:rPr>
          <w:rFonts w:ascii="Times New Roman" w:hAnsi="Times New Roman" w:cs="Times New Roman"/>
          <w:sz w:val="24"/>
          <w:szCs w:val="24"/>
        </w:rPr>
        <w:t xml:space="preserve">The first computational component of this study involved mining of 382 target genes for luteolin and 50,166 genes associated with CRC to identify the Luteolin-CRC interactome. Venn diagrams </w:t>
      </w:r>
      <w:r>
        <w:rPr>
          <w:rFonts w:ascii="Times New Roman" w:hAnsi="Times New Roman" w:cs="Times New Roman"/>
          <w:sz w:val="24"/>
          <w:szCs w:val="24"/>
        </w:rPr>
        <w:t xml:space="preserve">analysis </w:t>
      </w:r>
      <w:r w:rsidRPr="00CE0507">
        <w:rPr>
          <w:rFonts w:ascii="Times New Roman" w:hAnsi="Times New Roman" w:cs="Times New Roman"/>
          <w:sz w:val="24"/>
          <w:szCs w:val="24"/>
        </w:rPr>
        <w:t>showed that there are 379 common genes. The high degree of concordance indicates that luteolin's therapeutic effects are not serendipitous, single-target binding, but are attributed to evolutionary conservation of the flavonoid-binding domain in a large number of genes across human di</w:t>
      </w:r>
      <w:r>
        <w:rPr>
          <w:rFonts w:ascii="Times New Roman" w:hAnsi="Times New Roman" w:cs="Times New Roman"/>
          <w:sz w:val="24"/>
          <w:szCs w:val="24"/>
        </w:rPr>
        <w:t xml:space="preserve">seases as reported earlier by Olanrewaju </w:t>
      </w:r>
      <w:r w:rsidR="00424714" w:rsidRPr="00424714">
        <w:rPr>
          <w:rFonts w:ascii="Times New Roman" w:hAnsi="Times New Roman" w:cs="Times New Roman"/>
          <w:i/>
          <w:sz w:val="24"/>
          <w:szCs w:val="24"/>
        </w:rPr>
        <w:t>et al</w:t>
      </w:r>
      <w:r>
        <w:rPr>
          <w:rFonts w:ascii="Times New Roman" w:hAnsi="Times New Roman" w:cs="Times New Roman"/>
          <w:sz w:val="24"/>
          <w:szCs w:val="24"/>
        </w:rPr>
        <w:t>. (2024)</w:t>
      </w:r>
      <w:r w:rsidRPr="00CE0507">
        <w:rPr>
          <w:rFonts w:ascii="Times New Roman" w:hAnsi="Times New Roman" w:cs="Times New Roman"/>
          <w:sz w:val="24"/>
          <w:szCs w:val="24"/>
        </w:rPr>
        <w:t xml:space="preserve">. To explain the functional implications of this interactome, KEGG pathway enrichment revealed that the co-expressed nodes are distributed strategically across hallmark oncogenic cascades </w:t>
      </w:r>
      <w:r>
        <w:rPr>
          <w:rFonts w:ascii="Times New Roman" w:hAnsi="Times New Roman" w:cs="Times New Roman"/>
          <w:sz w:val="24"/>
          <w:szCs w:val="24"/>
        </w:rPr>
        <w:t xml:space="preserve">- </w:t>
      </w:r>
      <w:r w:rsidRPr="00CE0507">
        <w:rPr>
          <w:rFonts w:ascii="Times New Roman" w:hAnsi="Times New Roman" w:cs="Times New Roman"/>
          <w:sz w:val="24"/>
          <w:szCs w:val="24"/>
        </w:rPr>
        <w:t>PI3K/Akt, MAPK, Wnt and p53 pathways</w:t>
      </w:r>
      <w:r>
        <w:rPr>
          <w:rFonts w:ascii="Times New Roman" w:hAnsi="Times New Roman" w:cs="Times New Roman"/>
          <w:sz w:val="24"/>
          <w:szCs w:val="24"/>
        </w:rPr>
        <w:t xml:space="preserve"> (Alatise </w:t>
      </w:r>
      <w:r w:rsidR="00424714" w:rsidRPr="00424714">
        <w:rPr>
          <w:rFonts w:ascii="Times New Roman" w:hAnsi="Times New Roman" w:cs="Times New Roman"/>
          <w:i/>
          <w:sz w:val="24"/>
          <w:szCs w:val="24"/>
        </w:rPr>
        <w:t>et al</w:t>
      </w:r>
      <w:r>
        <w:rPr>
          <w:rFonts w:ascii="Times New Roman" w:hAnsi="Times New Roman" w:cs="Times New Roman"/>
          <w:sz w:val="24"/>
          <w:szCs w:val="24"/>
        </w:rPr>
        <w:t>., 2025)</w:t>
      </w:r>
      <w:r w:rsidRPr="00CE0507">
        <w:rPr>
          <w:rFonts w:ascii="Times New Roman" w:hAnsi="Times New Roman" w:cs="Times New Roman"/>
          <w:sz w:val="24"/>
          <w:szCs w:val="24"/>
        </w:rPr>
        <w:t>. It is a multi-</w:t>
      </w:r>
      <w:r w:rsidRPr="00CE0507">
        <w:rPr>
          <w:rFonts w:ascii="Times New Roman" w:hAnsi="Times New Roman" w:cs="Times New Roman"/>
          <w:sz w:val="24"/>
          <w:szCs w:val="24"/>
        </w:rPr>
        <w:lastRenderedPageBreak/>
        <w:t>pathway regulatory mechanism that offers a substantial basis for control of the inherent heterogeneity of CRC, by simultaneously interfering with multiple stages of tumorigenesis ranging from the initial hyperproliferation to evasion of apoptosis.</w:t>
      </w:r>
    </w:p>
    <w:p w14:paraId="033DC414" w14:textId="5E46B7B9" w:rsidR="004E11C9" w:rsidRPr="00CE0507" w:rsidRDefault="004E11C9" w:rsidP="004E11C9">
      <w:pPr>
        <w:spacing w:line="480" w:lineRule="auto"/>
        <w:jc w:val="both"/>
        <w:rPr>
          <w:rFonts w:ascii="Times New Roman" w:hAnsi="Times New Roman" w:cs="Times New Roman"/>
          <w:sz w:val="24"/>
          <w:szCs w:val="24"/>
        </w:rPr>
      </w:pPr>
      <w:r w:rsidRPr="00CE0507">
        <w:rPr>
          <w:rFonts w:ascii="Times New Roman" w:hAnsi="Times New Roman" w:cs="Times New Roman"/>
          <w:sz w:val="24"/>
          <w:szCs w:val="24"/>
        </w:rPr>
        <w:t>The PPI networks were then topologically analyzed to identify central regulatory nodes. Rigorous metrics like degree centrality, betweenness centrality, closeness centrality were applied and master regulator genes like TP53, AKT1, mTOR, and CASP3 were prioritized as critical hub genes. These hubs are the main crosspoints of cellular survival and programmed death processes, having high betweenness and closeness values in the Luteolin-CRC network indicating that they play a crucial role as “gatekeepers” of the signaling flow</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(Olanrewaju </w:t>
      </w:r>
      <w:r w:rsidR="00424714" w:rsidRPr="00424714">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2024)</w:t>
      </w:r>
      <w:r w:rsidRPr="00CE0507">
        <w:rPr>
          <w:rFonts w:ascii="Times New Roman" w:hAnsi="Times New Roman" w:cs="Times New Roman"/>
          <w:sz w:val="24"/>
          <w:szCs w:val="24"/>
        </w:rPr>
        <w:t>. This systems-level view was further supported by functional enrichment using Gene Ontology (GO) and pathway analysis, which was largely focused on the enriched terms being related to kinase activity and transcription factor binding. Luteolin's broad regulatory profile suggests that it is superior to other phytochemicals such as apigenin or quercetin that have more limited pathway profiles</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(Neamtu </w:t>
      </w:r>
      <w:r w:rsidR="00424714" w:rsidRPr="00424714">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xml:space="preserve">., 2022; </w:t>
      </w:r>
      <w:r>
        <w:rPr>
          <w:rFonts w:ascii="Times New Roman" w:eastAsia="Times New Roman" w:hAnsi="Times New Roman" w:cs="Times New Roman"/>
          <w:sz w:val="24"/>
          <w:szCs w:val="24"/>
          <w:highlight w:val="white"/>
        </w:rPr>
        <w:t xml:space="preserve">Ahmadzadeh </w:t>
      </w:r>
      <w:r w:rsidR="00424714" w:rsidRPr="00424714">
        <w:rPr>
          <w:rFonts w:ascii="Times New Roman" w:eastAsia="Times New Roman" w:hAnsi="Times New Roman" w:cs="Times New Roman"/>
          <w:i/>
          <w:sz w:val="24"/>
          <w:szCs w:val="24"/>
        </w:rPr>
        <w:t>et al</w:t>
      </w:r>
      <w:r>
        <w:rPr>
          <w:rFonts w:ascii="Times New Roman" w:eastAsia="Times New Roman" w:hAnsi="Times New Roman" w:cs="Times New Roman"/>
          <w:sz w:val="24"/>
          <w:szCs w:val="24"/>
          <w:highlight w:val="white"/>
        </w:rPr>
        <w:t>., 2024</w:t>
      </w:r>
      <w:r>
        <w:rPr>
          <w:rFonts w:ascii="Times New Roman" w:eastAsia="Times New Roman" w:hAnsi="Times New Roman" w:cs="Times New Roman"/>
          <w:sz w:val="24"/>
          <w:szCs w:val="24"/>
        </w:rPr>
        <w:t>)</w:t>
      </w:r>
      <w:r w:rsidRPr="00CE0507">
        <w:rPr>
          <w:rFonts w:ascii="Times New Roman" w:hAnsi="Times New Roman" w:cs="Times New Roman"/>
          <w:sz w:val="24"/>
          <w:szCs w:val="24"/>
        </w:rPr>
        <w:t>, and may be better suited to the treatment of CRC sub-groups that are resistant to therapy.</w:t>
      </w:r>
    </w:p>
    <w:p w14:paraId="7397DF78" w14:textId="2A76D9A1" w:rsidR="004E11C9" w:rsidRPr="00CE0507" w:rsidRDefault="004E11C9" w:rsidP="004E11C9">
      <w:pPr>
        <w:spacing w:line="480" w:lineRule="auto"/>
        <w:jc w:val="both"/>
        <w:rPr>
          <w:rFonts w:ascii="Times New Roman" w:hAnsi="Times New Roman" w:cs="Times New Roman"/>
          <w:sz w:val="24"/>
          <w:szCs w:val="24"/>
        </w:rPr>
      </w:pPr>
      <w:r w:rsidRPr="00CE0507">
        <w:rPr>
          <w:rFonts w:ascii="Times New Roman" w:hAnsi="Times New Roman" w:cs="Times New Roman"/>
          <w:sz w:val="24"/>
          <w:szCs w:val="24"/>
        </w:rPr>
        <w:t>Molecular docking was used to determine the binding ability of luteolin with the hub proteins to confirm the thermodynamics of these interactions</w:t>
      </w:r>
      <w:r>
        <w:rPr>
          <w:rFonts w:ascii="Times New Roman" w:hAnsi="Times New Roman" w:cs="Times New Roman"/>
          <w:sz w:val="24"/>
          <w:szCs w:val="24"/>
        </w:rPr>
        <w:t xml:space="preserve"> (Olanrewaju </w:t>
      </w:r>
      <w:r w:rsidR="00424714" w:rsidRPr="00424714">
        <w:rPr>
          <w:rFonts w:ascii="Times New Roman" w:hAnsi="Times New Roman" w:cs="Times New Roman"/>
          <w:i/>
          <w:sz w:val="24"/>
          <w:szCs w:val="24"/>
        </w:rPr>
        <w:t>et al</w:t>
      </w:r>
      <w:r>
        <w:rPr>
          <w:rFonts w:ascii="Times New Roman" w:hAnsi="Times New Roman" w:cs="Times New Roman"/>
          <w:sz w:val="24"/>
          <w:szCs w:val="24"/>
        </w:rPr>
        <w:t>., 2024)</w:t>
      </w:r>
      <w:r w:rsidRPr="00CE0507">
        <w:rPr>
          <w:rFonts w:ascii="Times New Roman" w:hAnsi="Times New Roman" w:cs="Times New Roman"/>
          <w:sz w:val="24"/>
          <w:szCs w:val="24"/>
        </w:rPr>
        <w:t>. The results show high binding efficacy to all major targets such as Casp 3, AKT1, mTOR, P53, Bcl2, Casp 9 and CDKN1A. Remarkably, Casp 3 exhibited the best binding affinity and also good post-docking MMGBSA. This interaction is made possible by luteolin binding with residues that are essential to the stability of the catalytic triad of caspase-3</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(Nadendla </w:t>
      </w:r>
      <w:r w:rsidR="00424714" w:rsidRPr="00424714">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2025)</w:t>
      </w:r>
      <w:r w:rsidRPr="00CE0507">
        <w:rPr>
          <w:rFonts w:ascii="Times New Roman" w:hAnsi="Times New Roman" w:cs="Times New Roman"/>
          <w:sz w:val="24"/>
          <w:szCs w:val="24"/>
        </w:rPr>
        <w:t>. Similarly, the critical residues were involved in binding to AKT1 and it was found that it disrupts the ATP pocket</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(Baby </w:t>
      </w:r>
      <w:r w:rsidR="00424714" w:rsidRPr="00424714">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2023)</w:t>
      </w:r>
      <w:r w:rsidRPr="00CE0507">
        <w:rPr>
          <w:rFonts w:ascii="Times New Roman" w:hAnsi="Times New Roman" w:cs="Times New Roman"/>
          <w:sz w:val="24"/>
          <w:szCs w:val="24"/>
        </w:rPr>
        <w:t xml:space="preserve">. Luteolin's ability is quite competitive when compared to synthetic benchmarks, such as the MMGBSA score of well-established inhibitors such as idelalisib </w:t>
      </w:r>
      <w:r>
        <w:rPr>
          <w:rFonts w:ascii="Times New Roman" w:eastAsia="Times New Roman" w:hAnsi="Times New Roman" w:cs="Times New Roman"/>
          <w:sz w:val="24"/>
          <w:szCs w:val="24"/>
        </w:rPr>
        <w:t xml:space="preserve">(Nadendla </w:t>
      </w:r>
      <w:r w:rsidR="00424714" w:rsidRPr="00424714">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2025)</w:t>
      </w:r>
      <w:r w:rsidRPr="00CE0507">
        <w:rPr>
          <w:rFonts w:ascii="Times New Roman" w:hAnsi="Times New Roman" w:cs="Times New Roman"/>
          <w:sz w:val="24"/>
          <w:szCs w:val="24"/>
        </w:rPr>
        <w:t xml:space="preserve">. Such structural validation shows that </w:t>
      </w:r>
      <w:r w:rsidRPr="00CE0507">
        <w:rPr>
          <w:rFonts w:ascii="Times New Roman" w:hAnsi="Times New Roman" w:cs="Times New Roman"/>
          <w:sz w:val="24"/>
          <w:szCs w:val="24"/>
        </w:rPr>
        <w:lastRenderedPageBreak/>
        <w:t>luteolin's polypharmacological potential is supported by its high affinity to target precisely those regulators that promote CRC progression.</w:t>
      </w:r>
    </w:p>
    <w:p w14:paraId="2465053F" w14:textId="6EF63488" w:rsidR="004E11C9" w:rsidRPr="00CE0507" w:rsidRDefault="004E11C9" w:rsidP="004E11C9">
      <w:pPr>
        <w:spacing w:line="480" w:lineRule="auto"/>
        <w:jc w:val="both"/>
        <w:rPr>
          <w:rFonts w:ascii="Times New Roman" w:hAnsi="Times New Roman" w:cs="Times New Roman"/>
          <w:sz w:val="24"/>
          <w:szCs w:val="24"/>
        </w:rPr>
      </w:pPr>
      <w:r w:rsidRPr="00CE0507">
        <w:rPr>
          <w:rFonts w:ascii="Times New Roman" w:hAnsi="Times New Roman" w:cs="Times New Roman"/>
          <w:sz w:val="24"/>
          <w:szCs w:val="24"/>
        </w:rPr>
        <w:t>The stability of these complexes was analyzed in detail by 100 ns molecular dynamics (MD) simulations. The conformational stability was verified by Root Mean Square Deviation (RMSD) profiles. The overlapping of these profiles in a narrow range of 2-3 Å suggests that luteolin has a tight and stable binding in the active sites. Residue flexibility</w:t>
      </w:r>
      <w:r>
        <w:rPr>
          <w:rFonts w:ascii="Times New Roman" w:hAnsi="Times New Roman" w:cs="Times New Roman"/>
          <w:sz w:val="24"/>
          <w:szCs w:val="24"/>
        </w:rPr>
        <w:t xml:space="preserve"> (Root Mean Square Fluctuation; </w:t>
      </w:r>
      <w:r w:rsidRPr="00CE0507">
        <w:rPr>
          <w:rFonts w:ascii="Times New Roman" w:hAnsi="Times New Roman" w:cs="Times New Roman"/>
          <w:sz w:val="24"/>
          <w:szCs w:val="24"/>
        </w:rPr>
        <w:t>RMSF) was very low for the Cα atoms in the vicinity of the binding pockets. This indicates that luteolin stabilizes these enzymes in a specific conformation, for example by locking them into a proapoptotic conformation of Caspase-3 or inhibiting their oncogenic activity at mTOR and AKT1. Another measure of interaction persistence was obtained by contact histograms that identified the existence of persistent hydrogen bonds and hydrophobic contacts, in particular with Val164 and Tyr272 in the mTOR complex</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(Kawade </w:t>
      </w:r>
      <w:r w:rsidR="00424714" w:rsidRPr="00424714">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2018)</w:t>
      </w:r>
      <w:r w:rsidRPr="00CE0507">
        <w:rPr>
          <w:rFonts w:ascii="Times New Roman" w:hAnsi="Times New Roman" w:cs="Times New Roman"/>
          <w:sz w:val="24"/>
          <w:szCs w:val="24"/>
        </w:rPr>
        <w:t>. This persistence enables the stability of the interactome of the target luteolin under the conditions of simulated physiology.</w:t>
      </w:r>
    </w:p>
    <w:p w14:paraId="05E85643" w14:textId="1A9C8093" w:rsidR="00176B3C" w:rsidRPr="00706CEC" w:rsidRDefault="00176B3C" w:rsidP="00176B3C">
      <w:pPr>
        <w:spacing w:line="480" w:lineRule="auto"/>
        <w:jc w:val="both"/>
        <w:rPr>
          <w:rFonts w:ascii="Times New Roman" w:hAnsi="Times New Roman" w:cs="Times New Roman"/>
          <w:sz w:val="24"/>
          <w:szCs w:val="24"/>
        </w:rPr>
      </w:pPr>
      <w:r w:rsidRPr="00706CEC">
        <w:rPr>
          <w:rFonts w:ascii="Times New Roman" w:hAnsi="Times New Roman" w:cs="Times New Roman"/>
          <w:sz w:val="24"/>
          <w:szCs w:val="24"/>
        </w:rPr>
        <w:t>To bring these computational and structural insights to the biological realm, a Drosophila model was used, which shares more than 75% of human disease genes and is similar to the human colonic epithelium</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(Sang </w:t>
      </w:r>
      <w:r w:rsidR="00424714" w:rsidRPr="00424714">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2024)</w:t>
      </w:r>
      <w:r w:rsidRPr="00706CEC">
        <w:rPr>
          <w:rFonts w:ascii="Times New Roman" w:hAnsi="Times New Roman" w:cs="Times New Roman"/>
          <w:sz w:val="24"/>
          <w:szCs w:val="24"/>
        </w:rPr>
        <w:t>. Here, luteolin proved to be highly effective in inhibiting AOM</w:t>
      </w:r>
      <w:r>
        <w:rPr>
          <w:rFonts w:ascii="Times New Roman" w:hAnsi="Times New Roman" w:cs="Times New Roman"/>
          <w:sz w:val="24"/>
          <w:szCs w:val="24"/>
        </w:rPr>
        <w:t xml:space="preserve">-induced tumorigenesis in this </w:t>
      </w:r>
      <w:r w:rsidRPr="009F2C62">
        <w:rPr>
          <w:rFonts w:ascii="Times New Roman" w:hAnsi="Times New Roman" w:cs="Times New Roman"/>
          <w:i/>
          <w:sz w:val="24"/>
          <w:szCs w:val="24"/>
        </w:rPr>
        <w:t>In vivo</w:t>
      </w:r>
      <w:r w:rsidRPr="00706CEC">
        <w:rPr>
          <w:rFonts w:ascii="Times New Roman" w:hAnsi="Times New Roman" w:cs="Times New Roman"/>
          <w:sz w:val="24"/>
          <w:szCs w:val="24"/>
        </w:rPr>
        <w:t xml:space="preserve"> model, resulting in a remarkable decrease in the number of tumors</w:t>
      </w:r>
      <w:r>
        <w:rPr>
          <w:rFonts w:ascii="Times New Roman" w:hAnsi="Times New Roman" w:cs="Times New Roman"/>
          <w:sz w:val="24"/>
          <w:szCs w:val="24"/>
        </w:rPr>
        <w:t xml:space="preserve"> burden</w:t>
      </w:r>
      <w:r w:rsidRPr="00706CEC">
        <w:rPr>
          <w:rFonts w:ascii="Times New Roman" w:hAnsi="Times New Roman" w:cs="Times New Roman"/>
          <w:sz w:val="24"/>
          <w:szCs w:val="24"/>
        </w:rPr>
        <w:t xml:space="preserve">. This performance is comparable to the traditional AOM mouse model, where significant reduction is generally reported, indicating that the Drosophila model might be more sensitive to the targets of luteolin or better reflect the bioavailability of luteolin. This suppression was confirmed by quantitative PCR (qPCR) of the hub genes. The structural stabilization and "locking" of the catalytic triad seen during the course of MD simulations gave the mechanism from which the high upregulation of Casp 3 </w:t>
      </w:r>
      <w:r w:rsidRPr="00706CEC">
        <w:rPr>
          <w:rFonts w:ascii="Times New Roman" w:hAnsi="Times New Roman" w:cs="Times New Roman"/>
          <w:sz w:val="24"/>
          <w:szCs w:val="24"/>
        </w:rPr>
        <w:lastRenderedPageBreak/>
        <w:t xml:space="preserve">expression levels was deduced. The up regulation of TP53, Caspase 9 and CDKN1A were also observed as similar pro-apoptotic shifts. </w:t>
      </w:r>
    </w:p>
    <w:p w14:paraId="3D41F140" w14:textId="77777777" w:rsidR="00176B3C" w:rsidRPr="00706CEC" w:rsidRDefault="00176B3C" w:rsidP="00176B3C">
      <w:pPr>
        <w:spacing w:line="480" w:lineRule="auto"/>
        <w:jc w:val="both"/>
        <w:rPr>
          <w:rFonts w:ascii="Times New Roman" w:hAnsi="Times New Roman" w:cs="Times New Roman"/>
          <w:sz w:val="24"/>
          <w:szCs w:val="24"/>
        </w:rPr>
      </w:pPr>
      <w:r w:rsidRPr="00706CEC">
        <w:rPr>
          <w:rFonts w:ascii="Times New Roman" w:hAnsi="Times New Roman" w:cs="Times New Roman"/>
          <w:sz w:val="24"/>
          <w:szCs w:val="24"/>
        </w:rPr>
        <w:t>At the same time, the In vivo results demonstrated that the hubs for oncogenic survival were significantly down regulated. This included the suppression of c-MYC, mTOR, BCL 2, and AKT1. The down-regulation of BCL 2 and AKT1 is especially important as a "kill shot" towards CRC cells because these nodes play a key role in resistance to autophagy and protein synthesis, respectively. Luteolin simultaneously downregulates the expression of these survival hubs and upregulates apoptotic markers, thus interfering with the core hallmarks of cancer. This biological verification gives important evidence for the proof of concept that the multi-target interactions simulated In silico can be correlated with tangible anti-tumor effects in vivo, which represents a good structural stability proof at the residue level and is essential for the successful introduction of inhibitors into the clinic.</w:t>
      </w:r>
    </w:p>
    <w:p w14:paraId="25D104D6" w14:textId="77777777" w:rsidR="00176B3C" w:rsidRPr="00706CEC" w:rsidRDefault="00176B3C" w:rsidP="00176B3C">
      <w:pPr>
        <w:spacing w:line="480" w:lineRule="auto"/>
        <w:jc w:val="both"/>
        <w:rPr>
          <w:rFonts w:ascii="Times New Roman" w:hAnsi="Times New Roman" w:cs="Times New Roman"/>
          <w:sz w:val="24"/>
          <w:szCs w:val="24"/>
        </w:rPr>
      </w:pPr>
      <w:r w:rsidRPr="00706CEC">
        <w:rPr>
          <w:rFonts w:ascii="Times New Roman" w:hAnsi="Times New Roman" w:cs="Times New Roman"/>
          <w:sz w:val="24"/>
          <w:szCs w:val="24"/>
        </w:rPr>
        <w:t>The multi-target advantage of luteolin over single-node therapies is highlighted by the systems-level synthesis of the above data. Compensatory pathway activation is frequently a problem associated with modern inhibitors, however, because luteolin affects a number of upstream nodes including IGF1R as well as numerous downstream nodes including mTOR and AKT1, it offers a complete blockade on oncogenic signaling. This is a polypharmacological intervention that is crucial in the treatment of CRC subtypes with a mutation in KRAS or PIK3CA, which are currently not targeted by conventional treatment. The hydroxyl pattern around the carbon backbone makes luteolin particularly attractive, as opposed to other phytochemicals such as EGCG or quercetin, which are unable to retain its binding to the PI3K/Akt/mTOR axis. In addition, the use of a wild-type Drosophila model to replicate sporadic CRC is highly translational with the ability to rapidly validate precision nutraceuticals in a high quality and cost-effective method than rodent studies.</w:t>
      </w:r>
    </w:p>
    <w:p w14:paraId="5EB33E63" w14:textId="77777777" w:rsidR="00176B3C" w:rsidRPr="00706CEC" w:rsidRDefault="00176B3C" w:rsidP="00176B3C">
      <w:pPr>
        <w:spacing w:line="480" w:lineRule="auto"/>
        <w:jc w:val="both"/>
        <w:rPr>
          <w:rFonts w:ascii="Times New Roman" w:hAnsi="Times New Roman" w:cs="Times New Roman"/>
          <w:sz w:val="24"/>
          <w:szCs w:val="24"/>
        </w:rPr>
      </w:pPr>
      <w:r w:rsidRPr="00706CEC">
        <w:rPr>
          <w:rFonts w:ascii="Times New Roman" w:hAnsi="Times New Roman" w:cs="Times New Roman"/>
          <w:sz w:val="24"/>
          <w:szCs w:val="24"/>
        </w:rPr>
        <w:lastRenderedPageBreak/>
        <w:t>Overall, this study provides a comprehensive multi-omics validation of the therapeutic potential of luteolin in CRC. The convergence of all data from the identification of 379 overlapping binding sites to stable binding to the Caspase-3 active site and the significant reduction in the amount of tumor burden In vivo, consistently identify luteolin as a potent, mechanistically validated chemopreventive agent. It is very effective and is a candidate for use in resource-limited countries such as Nigeria, where CRC is a major problem and conventional therapies are scarce. This study offers a paradigm shift in how computational predictions can be linked to structure and stability, and how these can be correlated with biological results to develop inexpensive multi-target drugs to control colorectal cancer at a global level.</w:t>
      </w:r>
    </w:p>
    <w:p w14:paraId="05430C48" w14:textId="58BB5AFE" w:rsidR="001469C4" w:rsidRDefault="00962A31">
      <w:pPr>
        <w:spacing w:before="28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83ACCE4" w14:textId="77777777" w:rsidR="001469C4" w:rsidRDefault="001469C4">
      <w:pPr>
        <w:spacing w:before="280" w:line="480" w:lineRule="auto"/>
        <w:rPr>
          <w:rFonts w:ascii="Times New Roman" w:eastAsia="Times New Roman" w:hAnsi="Times New Roman" w:cs="Times New Roman"/>
          <w:sz w:val="24"/>
          <w:szCs w:val="24"/>
        </w:rPr>
      </w:pPr>
    </w:p>
    <w:p w14:paraId="03D7E872" w14:textId="77777777" w:rsidR="007F64A6" w:rsidRDefault="007F64A6">
      <w:pPr>
        <w:rPr>
          <w:rFonts w:ascii="Times New Roman" w:eastAsia="Times New Roman" w:hAnsi="Times New Roman" w:cstheme="majorBidi"/>
          <w:b/>
          <w:iCs/>
          <w:color w:val="000000" w:themeColor="text1"/>
          <w:sz w:val="24"/>
        </w:rPr>
      </w:pPr>
      <w:r>
        <w:rPr>
          <w:rFonts w:eastAsia="Times New Roman"/>
        </w:rPr>
        <w:br w:type="page"/>
      </w:r>
    </w:p>
    <w:p w14:paraId="02D34383" w14:textId="616BE909" w:rsidR="001469C4" w:rsidRDefault="00802A6C" w:rsidP="00940A17">
      <w:pPr>
        <w:pStyle w:val="Heading7"/>
        <w:rPr>
          <w:rFonts w:eastAsia="Times New Roman"/>
        </w:rPr>
      </w:pPr>
      <w:r>
        <w:rPr>
          <w:rFonts w:eastAsia="Times New Roman"/>
        </w:rPr>
        <w:lastRenderedPageBreak/>
        <w:t>CHAPTER FIVE</w:t>
      </w:r>
    </w:p>
    <w:p w14:paraId="7DD1B5A7" w14:textId="1B327E67" w:rsidR="001469C4" w:rsidRDefault="001D6C4D" w:rsidP="001D6C4D">
      <w:pPr>
        <w:pStyle w:val="Heading7"/>
        <w:jc w:val="left"/>
        <w:rPr>
          <w:rFonts w:eastAsia="Times New Roman"/>
        </w:rPr>
      </w:pPr>
      <w:r>
        <w:rPr>
          <w:rFonts w:eastAsia="Times New Roman"/>
        </w:rPr>
        <w:t xml:space="preserve">5.0                  </w:t>
      </w:r>
      <w:r w:rsidR="00A976D5">
        <w:rPr>
          <w:rFonts w:eastAsia="Times New Roman"/>
        </w:rPr>
        <w:t xml:space="preserve">    </w:t>
      </w:r>
      <w:r w:rsidR="00802A6C">
        <w:rPr>
          <w:rFonts w:eastAsia="Times New Roman"/>
        </w:rPr>
        <w:t>SUMMARY, CONCLUSION</w:t>
      </w:r>
      <w:r w:rsidR="00AA46C7">
        <w:rPr>
          <w:rFonts w:eastAsia="Times New Roman"/>
        </w:rPr>
        <w:t xml:space="preserve"> </w:t>
      </w:r>
      <w:r w:rsidR="00802A6C">
        <w:rPr>
          <w:rFonts w:eastAsia="Times New Roman"/>
        </w:rPr>
        <w:t>AND RECOMMENDATION</w:t>
      </w:r>
      <w:r w:rsidR="00AA46C7">
        <w:rPr>
          <w:rFonts w:eastAsia="Times New Roman"/>
        </w:rPr>
        <w:t>S</w:t>
      </w:r>
    </w:p>
    <w:p w14:paraId="7132C94B" w14:textId="77777777" w:rsidR="001469C4" w:rsidRDefault="00802A6C" w:rsidP="00940A17">
      <w:pPr>
        <w:pStyle w:val="Heading8"/>
        <w:rPr>
          <w:rFonts w:eastAsia="Times New Roman"/>
        </w:rPr>
      </w:pPr>
      <w:r>
        <w:rPr>
          <w:rFonts w:eastAsia="Times New Roman"/>
        </w:rPr>
        <w:t>5.1</w:t>
      </w:r>
      <w:r>
        <w:rPr>
          <w:rFonts w:eastAsia="Times New Roman"/>
        </w:rPr>
        <w:tab/>
        <w:t>Summary</w:t>
      </w:r>
    </w:p>
    <w:p w14:paraId="0EB3CD1B" w14:textId="16DEA44F" w:rsidR="00207144" w:rsidRPr="001B652C" w:rsidRDefault="00207144" w:rsidP="00207144">
      <w:pPr>
        <w:spacing w:line="480" w:lineRule="auto"/>
        <w:jc w:val="both"/>
        <w:rPr>
          <w:rFonts w:ascii="Times New Roman" w:hAnsi="Times New Roman" w:cs="Times New Roman"/>
          <w:sz w:val="24"/>
          <w:szCs w:val="24"/>
        </w:rPr>
      </w:pPr>
      <w:r w:rsidRPr="001B652C">
        <w:rPr>
          <w:rFonts w:ascii="Times New Roman" w:hAnsi="Times New Roman" w:cs="Times New Roman"/>
          <w:sz w:val="24"/>
          <w:szCs w:val="24"/>
        </w:rPr>
        <w:t xml:space="preserve">The aim of this study was to be carried out under an integrated multi-tiered framework to explain the therapeutic potential of luteolin (a flavonoid) against CRC. The investigation was conducted systematically from the systems level network pharmacology analysis, through to high resolution structural bioinformatics by molecular docking and 100 ns molecular dynamics (MD) simulations, and finally to functional in vivo validation in the Drosophila model. </w:t>
      </w:r>
    </w:p>
    <w:p w14:paraId="22D04699" w14:textId="77777777" w:rsidR="00207144" w:rsidRPr="001B652C" w:rsidRDefault="00207144" w:rsidP="00207144">
      <w:pPr>
        <w:spacing w:line="480" w:lineRule="auto"/>
        <w:jc w:val="both"/>
        <w:rPr>
          <w:rFonts w:ascii="Times New Roman" w:hAnsi="Times New Roman" w:cs="Times New Roman"/>
          <w:sz w:val="24"/>
          <w:szCs w:val="24"/>
        </w:rPr>
      </w:pPr>
      <w:r w:rsidRPr="001B652C">
        <w:rPr>
          <w:rFonts w:ascii="Times New Roman" w:hAnsi="Times New Roman" w:cs="Times New Roman"/>
          <w:sz w:val="24"/>
          <w:szCs w:val="24"/>
        </w:rPr>
        <w:t>The first network pharmacology step led to the identification of 379 common targets between luteolin and CRC, which indicates a high degree of molecular intersections. These targets were mapped to key oncogenic pathways by KEGG enrichment, such as the PI3K/Akt, MAPK and Wnt/β-catenin pathways. The results indicate that luteolin's effect is not through any specific single target of action, but through modulation of a complex interactome. The thermodynamic profile of these interactions was subsequently determined and revealed a high binding affinity for Caspase-3 (docking score of -9.761 kcal/mol; MMGBSA free energy of -34.217 kcal/mol) and AKT1 (docking score of -8.613 kcal/mol; MMGBSA free energy of -54.22 kcal/mol). Specific amino acid residues involved in the stabilization of the complexes, such as Arg207, His121, and Ser120 in the binding interface of Caspase-3, and Trp80 and Ala50 in AKT1 were identified.</w:t>
      </w:r>
    </w:p>
    <w:p w14:paraId="54829501" w14:textId="4A9850C6" w:rsidR="001469C4" w:rsidRPr="00207144" w:rsidRDefault="00207144" w:rsidP="00207144">
      <w:pPr>
        <w:spacing w:line="480" w:lineRule="auto"/>
        <w:jc w:val="both"/>
        <w:rPr>
          <w:rFonts w:ascii="Times New Roman" w:hAnsi="Times New Roman" w:cs="Times New Roman"/>
          <w:sz w:val="24"/>
          <w:szCs w:val="24"/>
        </w:rPr>
      </w:pPr>
      <w:r w:rsidRPr="001B652C">
        <w:rPr>
          <w:rFonts w:ascii="Times New Roman" w:hAnsi="Times New Roman" w:cs="Times New Roman"/>
          <w:sz w:val="24"/>
          <w:szCs w:val="24"/>
        </w:rPr>
        <w:t xml:space="preserve">The 100 ns MD simulations supplied crucial evidence of the conformational stability of the protein-ligand complexes in simulated physiological situations. Casp3-Luteolin complex was specifically the most rigid with the mean RMSD of 1.8 Å. The simulations showed that luteolin promoted binding of the enzyme to a rigid conformation in the substrate binding cleft, thus locking the enzyme into an active conformation that promotes apoptosis. These </w:t>
      </w:r>
      <w:r w:rsidRPr="001B652C">
        <w:rPr>
          <w:rFonts w:ascii="Times New Roman" w:hAnsi="Times New Roman" w:cs="Times New Roman"/>
          <w:sz w:val="24"/>
          <w:szCs w:val="24"/>
        </w:rPr>
        <w:lastRenderedPageBreak/>
        <w:t xml:space="preserve">structural insights were successfully bridged with biological outcomes. The results in vivo indicated that the treatment of luteolin led to a significant decrease in the tumor burden. The expected mechanism of action was validated with significant quantitative downregulation of oncogenic genes such as mTOR, AKT1 and buffy, the BCL2 ortholog; and genes that promote cell death, such as TP53 (ortholog dap), CDKN1A (ortholog dap), Caspase-3 (ortholog drice) </w:t>
      </w:r>
      <w:r>
        <w:rPr>
          <w:rFonts w:ascii="Times New Roman" w:hAnsi="Times New Roman" w:cs="Times New Roman"/>
          <w:sz w:val="24"/>
          <w:szCs w:val="24"/>
        </w:rPr>
        <w:t>and Caspase-9 (ortholog dronc).</w:t>
      </w:r>
    </w:p>
    <w:p w14:paraId="309B191C" w14:textId="77777777" w:rsidR="001469C4" w:rsidRDefault="00802A6C" w:rsidP="00940A17">
      <w:pPr>
        <w:pStyle w:val="Heading8"/>
        <w:rPr>
          <w:rFonts w:eastAsia="Times New Roman"/>
        </w:rPr>
      </w:pPr>
      <w:r>
        <w:rPr>
          <w:rFonts w:eastAsia="Times New Roman"/>
        </w:rPr>
        <w:t>5.2</w:t>
      </w:r>
      <w:r>
        <w:rPr>
          <w:rFonts w:eastAsia="Times New Roman"/>
        </w:rPr>
        <w:tab/>
        <w:t>Conclusion</w:t>
      </w:r>
    </w:p>
    <w:p w14:paraId="29222A7D" w14:textId="77777777" w:rsidR="00207144" w:rsidRPr="001B652C" w:rsidRDefault="00207144" w:rsidP="00207144">
      <w:pPr>
        <w:spacing w:line="480" w:lineRule="auto"/>
        <w:jc w:val="both"/>
        <w:rPr>
          <w:rFonts w:ascii="Times New Roman" w:hAnsi="Times New Roman" w:cs="Times New Roman"/>
          <w:sz w:val="24"/>
          <w:szCs w:val="24"/>
        </w:rPr>
      </w:pPr>
      <w:r w:rsidRPr="001B652C">
        <w:rPr>
          <w:rFonts w:ascii="Times New Roman" w:hAnsi="Times New Roman" w:cs="Times New Roman"/>
          <w:sz w:val="24"/>
          <w:szCs w:val="24"/>
        </w:rPr>
        <w:t>It is concluded that on the basis of computational, structural and biological information, luteolin could be considered a strong multi-target chemopreventive agent that is able to interfere with the basic hallmarks of CRC. In this study, we have used a systems biology approach and found that the therapeutic activity of luteolin is based on its ability to target multiple nodes within redundant signaling pathways, such as the PI3K/Akt/mTOR and mitochondrial apoptosis axis. In contrast to the single-target approach of other agents (e.g. EGFR inhibitors), which are often ineffective because of the diversity of tumor types and the presence of parallel pathways, luteolin's multi-target mechanism results in its effectiveness, especially in the context of KRAS mutations and genetic heterogeneity.</w:t>
      </w:r>
    </w:p>
    <w:p w14:paraId="1EC4D634" w14:textId="77777777" w:rsidR="00207144" w:rsidRPr="001B652C" w:rsidRDefault="00207144" w:rsidP="00207144">
      <w:pPr>
        <w:spacing w:line="480" w:lineRule="auto"/>
        <w:jc w:val="both"/>
        <w:rPr>
          <w:rFonts w:ascii="Times New Roman" w:hAnsi="Times New Roman" w:cs="Times New Roman"/>
          <w:sz w:val="24"/>
          <w:szCs w:val="24"/>
        </w:rPr>
      </w:pPr>
      <w:r w:rsidRPr="001B652C">
        <w:rPr>
          <w:rFonts w:ascii="Times New Roman" w:hAnsi="Times New Roman" w:cs="Times New Roman"/>
          <w:sz w:val="24"/>
          <w:szCs w:val="24"/>
        </w:rPr>
        <w:t xml:space="preserve">The research has successfully shown that predictions of high-affinity binding to a target protein in the virtual environment directly correlates with dramatic In vivo tumor suppression and modulation of targeted gene expression. This alignment confirms the integrated framework as a trustworthy drug discovery approach. Moreover, the results suggest that luteolin could be a safe and affordable treatment option in place of standard chemotherapies such as 5-fluorouracil and as a complementary therapy. Luteolin is an alternative natural therapy that can be used in resource-limited clinical settings, like those in Sub-Saharan Africa, where the burden of CRC is growing, and the availability of costly targeted therapies </w:t>
      </w:r>
      <w:r w:rsidRPr="001B652C">
        <w:rPr>
          <w:rFonts w:ascii="Times New Roman" w:hAnsi="Times New Roman" w:cs="Times New Roman"/>
          <w:sz w:val="24"/>
          <w:szCs w:val="24"/>
        </w:rPr>
        <w:lastRenderedPageBreak/>
        <w:t>is restricted, while maintaining the beneficial effect of improved oncological outcomes without debilitating toxic effects of standard-of-care agents.</w:t>
      </w:r>
    </w:p>
    <w:p w14:paraId="64CFABB7" w14:textId="777694AC" w:rsidR="001469C4" w:rsidRDefault="00802A6C" w:rsidP="00940A17">
      <w:pPr>
        <w:pStyle w:val="Heading8"/>
        <w:rPr>
          <w:rFonts w:eastAsia="Times New Roman"/>
        </w:rPr>
      </w:pPr>
      <w:r>
        <w:rPr>
          <w:rFonts w:eastAsia="Times New Roman"/>
        </w:rPr>
        <w:t>5.3</w:t>
      </w:r>
      <w:r>
        <w:rPr>
          <w:rFonts w:eastAsia="Times New Roman"/>
        </w:rPr>
        <w:tab/>
        <w:t>Recommendation</w:t>
      </w:r>
      <w:r w:rsidR="00AA46C7">
        <w:rPr>
          <w:rFonts w:eastAsia="Times New Roman"/>
        </w:rPr>
        <w:t>s</w:t>
      </w:r>
    </w:p>
    <w:p w14:paraId="01BA79D0" w14:textId="77777777" w:rsidR="00207144" w:rsidRPr="001B652C" w:rsidRDefault="00207144" w:rsidP="00207144">
      <w:pPr>
        <w:spacing w:line="480" w:lineRule="auto"/>
        <w:jc w:val="both"/>
        <w:rPr>
          <w:rFonts w:ascii="Times New Roman" w:hAnsi="Times New Roman" w:cs="Times New Roman"/>
          <w:sz w:val="24"/>
          <w:szCs w:val="24"/>
        </w:rPr>
      </w:pPr>
      <w:r w:rsidRPr="001B652C">
        <w:rPr>
          <w:rFonts w:ascii="Times New Roman" w:hAnsi="Times New Roman" w:cs="Times New Roman"/>
          <w:sz w:val="24"/>
          <w:szCs w:val="24"/>
        </w:rPr>
        <w:t>The clinical translation of these findings is recommended to be advanced by starting phase I clinical trials to gain human safety profile and tolerability with luteolin-based interventions in CRC patients. Such activities should be supported by thorough pharmacokinetic and pharmacodynamic (PK/PD) research to establish optimum doses. The main limitation of flavonoids, which is low systemic bioavailability, needs to be addressed by the development of more sophisticated formulation strategies in the future to deliver therapeutically effective concentrations to the target colonic tissues.</w:t>
      </w:r>
    </w:p>
    <w:p w14:paraId="69DFD635" w14:textId="77777777" w:rsidR="00207144" w:rsidRPr="001B652C" w:rsidRDefault="00207144" w:rsidP="00207144">
      <w:pPr>
        <w:spacing w:line="480" w:lineRule="auto"/>
        <w:jc w:val="both"/>
        <w:rPr>
          <w:rFonts w:ascii="Times New Roman" w:hAnsi="Times New Roman" w:cs="Times New Roman"/>
          <w:sz w:val="24"/>
          <w:szCs w:val="24"/>
        </w:rPr>
      </w:pPr>
      <w:r w:rsidRPr="001B652C">
        <w:rPr>
          <w:rFonts w:ascii="Times New Roman" w:hAnsi="Times New Roman" w:cs="Times New Roman"/>
          <w:sz w:val="24"/>
          <w:szCs w:val="24"/>
        </w:rPr>
        <w:t>The use of luteolin as an adjunct therapy, in addition to standard-of-care agents such as 5-fluorouracil, should also be investigated in clinical trials. These combination treatments can offer synergistic benefits to overcome drug resistance and enable the use of lower doses of the chemotherapies, so as to limit the systemic side effects. Moreover, studies should focus on patient subsets to optimize the use of luteolin in a personalized medicine context, such as MSI-H and/or PIK3CA-mutated patients.</w:t>
      </w:r>
    </w:p>
    <w:p w14:paraId="4B29B18E" w14:textId="77777777" w:rsidR="00207144" w:rsidRPr="001B652C" w:rsidRDefault="00207144" w:rsidP="00207144">
      <w:pPr>
        <w:spacing w:line="480" w:lineRule="auto"/>
        <w:jc w:val="both"/>
        <w:rPr>
          <w:rFonts w:ascii="Times New Roman" w:hAnsi="Times New Roman" w:cs="Times New Roman"/>
          <w:sz w:val="24"/>
          <w:szCs w:val="24"/>
        </w:rPr>
      </w:pPr>
      <w:r w:rsidRPr="001B652C">
        <w:rPr>
          <w:rFonts w:ascii="Times New Roman" w:hAnsi="Times New Roman" w:cs="Times New Roman"/>
          <w:sz w:val="24"/>
          <w:szCs w:val="24"/>
        </w:rPr>
        <w:t>Lastly, more research is needed to study the anti-metastatic property of luteolin to combat the most devastating side of colorectal cancer. The use of advanced orthotopic models is crucial to test the compound's efficacy in inhibiting Epithelial-Mesenchymal Transition (EMT), which is a major step in the transition from localised tumors to invasive disease. These markers of metastasis and advanced models expand the scope of research and the full therapeutic potential of luteolin can be utilized to address the world's problem of colorectal malignancy.</w:t>
      </w:r>
    </w:p>
    <w:p w14:paraId="6489BDF9" w14:textId="77777777" w:rsidR="00207144" w:rsidRDefault="00207144">
      <w:pPr>
        <w:rPr>
          <w:rFonts w:ascii="Times New Roman" w:hAnsi="Times New Roman" w:cs="Times New Roman"/>
          <w:b/>
          <w:sz w:val="24"/>
          <w:szCs w:val="24"/>
        </w:rPr>
      </w:pPr>
      <w:r>
        <w:rPr>
          <w:rFonts w:ascii="Times New Roman" w:hAnsi="Times New Roman" w:cs="Times New Roman"/>
          <w:b/>
        </w:rPr>
        <w:br w:type="page"/>
      </w:r>
    </w:p>
    <w:p w14:paraId="551409D0" w14:textId="198D808F" w:rsidR="0017105B" w:rsidRDefault="00C9484C" w:rsidP="00D06F79">
      <w:pPr>
        <w:pStyle w:val="Heading3"/>
        <w:spacing w:line="480" w:lineRule="auto"/>
        <w:jc w:val="both"/>
      </w:pPr>
      <w:r>
        <w:rPr>
          <w:rFonts w:ascii="Times New Roman" w:hAnsi="Times New Roman" w:cs="Times New Roman"/>
          <w:b/>
          <w:color w:val="auto"/>
        </w:rPr>
        <w:lastRenderedPageBreak/>
        <w:t>Appendix Table A1:</w:t>
      </w:r>
      <w:r w:rsidRPr="00C9484C">
        <w:rPr>
          <w:rFonts w:ascii="Times New Roman" w:hAnsi="Times New Roman" w:cs="Times New Roman"/>
          <w:color w:val="auto"/>
        </w:rPr>
        <w:t xml:space="preserve"> Composition of Corn Meal Medium Used for Drosophila Culture</w:t>
      </w:r>
      <w:r w:rsidRPr="00C9484C">
        <w:rPr>
          <w:color w:val="auto"/>
        </w:rPr>
        <w:t xml:space="preserve"> </w:t>
      </w:r>
    </w:p>
    <w:p w14:paraId="64DF87B6" w14:textId="77777777" w:rsidR="00C9484C" w:rsidRDefault="00C9484C"/>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1239"/>
        <w:gridCol w:w="2730"/>
      </w:tblGrid>
      <w:tr w:rsidR="00C9484C" w:rsidRPr="00B47686" w14:paraId="11001742" w14:textId="77777777" w:rsidTr="00B47686">
        <w:tc>
          <w:tcPr>
            <w:tcW w:w="4248" w:type="dxa"/>
            <w:tcBorders>
              <w:top w:val="single" w:sz="4" w:space="0" w:color="auto"/>
              <w:bottom w:val="single" w:sz="4" w:space="0" w:color="auto"/>
            </w:tcBorders>
          </w:tcPr>
          <w:p w14:paraId="46B1615C" w14:textId="055FC4DA" w:rsidR="00C9484C" w:rsidRPr="00B47686" w:rsidRDefault="00C9484C" w:rsidP="00C9484C">
            <w:pPr>
              <w:spacing w:line="480" w:lineRule="auto"/>
              <w:rPr>
                <w:rFonts w:ascii="Times New Roman" w:hAnsi="Times New Roman" w:cs="Times New Roman"/>
                <w:b/>
                <w:bCs/>
                <w:sz w:val="24"/>
                <w:szCs w:val="24"/>
              </w:rPr>
            </w:pPr>
            <w:r w:rsidRPr="00B47686">
              <w:rPr>
                <w:rFonts w:ascii="Times New Roman" w:hAnsi="Times New Roman" w:cs="Times New Roman"/>
                <w:b/>
                <w:bCs/>
                <w:sz w:val="24"/>
                <w:szCs w:val="24"/>
              </w:rPr>
              <w:t>Component</w:t>
            </w:r>
          </w:p>
        </w:tc>
        <w:tc>
          <w:tcPr>
            <w:tcW w:w="1239" w:type="dxa"/>
            <w:tcBorders>
              <w:top w:val="single" w:sz="4" w:space="0" w:color="auto"/>
              <w:bottom w:val="single" w:sz="4" w:space="0" w:color="auto"/>
            </w:tcBorders>
          </w:tcPr>
          <w:p w14:paraId="1DF0F2EC" w14:textId="460F870F" w:rsidR="00C9484C" w:rsidRPr="00B47686" w:rsidRDefault="00C9484C" w:rsidP="00C9484C">
            <w:pPr>
              <w:spacing w:line="480" w:lineRule="auto"/>
              <w:rPr>
                <w:rFonts w:ascii="Times New Roman" w:hAnsi="Times New Roman" w:cs="Times New Roman"/>
                <w:b/>
                <w:bCs/>
                <w:sz w:val="24"/>
                <w:szCs w:val="24"/>
              </w:rPr>
            </w:pPr>
            <w:r w:rsidRPr="00B47686">
              <w:rPr>
                <w:rFonts w:ascii="Times New Roman" w:hAnsi="Times New Roman" w:cs="Times New Roman"/>
                <w:b/>
                <w:bCs/>
                <w:sz w:val="24"/>
                <w:szCs w:val="24"/>
              </w:rPr>
              <w:t>Quantity</w:t>
            </w:r>
          </w:p>
        </w:tc>
        <w:tc>
          <w:tcPr>
            <w:tcW w:w="2730" w:type="dxa"/>
            <w:tcBorders>
              <w:top w:val="single" w:sz="4" w:space="0" w:color="auto"/>
              <w:bottom w:val="single" w:sz="4" w:space="0" w:color="auto"/>
            </w:tcBorders>
          </w:tcPr>
          <w:p w14:paraId="3FA3FBCF" w14:textId="5CBD1633" w:rsidR="00C9484C" w:rsidRPr="00B47686" w:rsidRDefault="00C9484C" w:rsidP="00C9484C">
            <w:pPr>
              <w:spacing w:line="480" w:lineRule="auto"/>
              <w:rPr>
                <w:rFonts w:ascii="Times New Roman" w:hAnsi="Times New Roman" w:cs="Times New Roman"/>
                <w:b/>
                <w:bCs/>
                <w:sz w:val="24"/>
                <w:szCs w:val="24"/>
              </w:rPr>
            </w:pPr>
            <w:r w:rsidRPr="00B47686">
              <w:rPr>
                <w:rFonts w:ascii="Times New Roman" w:hAnsi="Times New Roman" w:cs="Times New Roman"/>
                <w:b/>
                <w:bCs/>
                <w:sz w:val="24"/>
                <w:szCs w:val="24"/>
              </w:rPr>
              <w:t>Ratio/Concentration</w:t>
            </w:r>
          </w:p>
        </w:tc>
      </w:tr>
      <w:tr w:rsidR="00C9484C" w:rsidRPr="00C9484C" w14:paraId="6C8D453F" w14:textId="77777777" w:rsidTr="00B47686">
        <w:tc>
          <w:tcPr>
            <w:tcW w:w="4248" w:type="dxa"/>
            <w:tcBorders>
              <w:top w:val="single" w:sz="4" w:space="0" w:color="auto"/>
            </w:tcBorders>
          </w:tcPr>
          <w:p w14:paraId="4B88F766" w14:textId="56FC966F" w:rsidR="00C9484C" w:rsidRPr="00C9484C" w:rsidRDefault="00C9484C" w:rsidP="00C9484C">
            <w:pPr>
              <w:spacing w:line="480" w:lineRule="auto"/>
              <w:rPr>
                <w:rFonts w:ascii="Times New Roman" w:hAnsi="Times New Roman" w:cs="Times New Roman"/>
                <w:sz w:val="24"/>
                <w:szCs w:val="24"/>
              </w:rPr>
            </w:pPr>
            <w:r w:rsidRPr="00C9484C">
              <w:rPr>
                <w:rFonts w:ascii="Times New Roman" w:hAnsi="Times New Roman" w:cs="Times New Roman"/>
                <w:sz w:val="24"/>
                <w:szCs w:val="24"/>
              </w:rPr>
              <w:t>Distilled Water</w:t>
            </w:r>
          </w:p>
        </w:tc>
        <w:tc>
          <w:tcPr>
            <w:tcW w:w="1239" w:type="dxa"/>
            <w:tcBorders>
              <w:top w:val="single" w:sz="4" w:space="0" w:color="auto"/>
            </w:tcBorders>
          </w:tcPr>
          <w:p w14:paraId="6087D546" w14:textId="1A24AE25" w:rsidR="00C9484C" w:rsidRPr="00C9484C" w:rsidRDefault="00C9484C" w:rsidP="00C9484C">
            <w:pPr>
              <w:spacing w:line="480" w:lineRule="auto"/>
              <w:rPr>
                <w:rFonts w:ascii="Times New Roman" w:hAnsi="Times New Roman" w:cs="Times New Roman"/>
                <w:sz w:val="24"/>
                <w:szCs w:val="24"/>
              </w:rPr>
            </w:pPr>
            <w:r w:rsidRPr="00C9484C">
              <w:rPr>
                <w:rFonts w:ascii="Times New Roman" w:hAnsi="Times New Roman" w:cs="Times New Roman"/>
                <w:sz w:val="24"/>
                <w:szCs w:val="24"/>
              </w:rPr>
              <w:t>1200 mL</w:t>
            </w:r>
          </w:p>
        </w:tc>
        <w:tc>
          <w:tcPr>
            <w:tcW w:w="2730" w:type="dxa"/>
            <w:tcBorders>
              <w:top w:val="single" w:sz="4" w:space="0" w:color="auto"/>
            </w:tcBorders>
          </w:tcPr>
          <w:p w14:paraId="560DDABC" w14:textId="0C3990CB" w:rsidR="00C9484C" w:rsidRPr="00C9484C" w:rsidRDefault="00C9484C" w:rsidP="00C9484C">
            <w:pPr>
              <w:spacing w:line="480" w:lineRule="auto"/>
              <w:rPr>
                <w:rFonts w:ascii="Times New Roman" w:hAnsi="Times New Roman" w:cs="Times New Roman"/>
                <w:sz w:val="24"/>
                <w:szCs w:val="24"/>
              </w:rPr>
            </w:pPr>
            <w:r w:rsidRPr="00C9484C">
              <w:rPr>
                <w:rFonts w:ascii="Times New Roman" w:hAnsi="Times New Roman" w:cs="Times New Roman"/>
                <w:sz w:val="24"/>
                <w:szCs w:val="24"/>
              </w:rPr>
              <w:t>-</w:t>
            </w:r>
          </w:p>
        </w:tc>
      </w:tr>
      <w:tr w:rsidR="00C9484C" w:rsidRPr="00C9484C" w14:paraId="654EF2BD" w14:textId="77777777" w:rsidTr="00B47686">
        <w:tc>
          <w:tcPr>
            <w:tcW w:w="4248" w:type="dxa"/>
          </w:tcPr>
          <w:p w14:paraId="02A671C2" w14:textId="684FC319" w:rsidR="00C9484C" w:rsidRPr="00C9484C" w:rsidRDefault="00C9484C" w:rsidP="00C9484C">
            <w:pPr>
              <w:spacing w:line="480" w:lineRule="auto"/>
              <w:rPr>
                <w:rFonts w:ascii="Times New Roman" w:hAnsi="Times New Roman" w:cs="Times New Roman"/>
                <w:sz w:val="24"/>
                <w:szCs w:val="24"/>
              </w:rPr>
            </w:pPr>
            <w:r w:rsidRPr="00C9484C">
              <w:rPr>
                <w:rFonts w:ascii="Times New Roman" w:hAnsi="Times New Roman" w:cs="Times New Roman"/>
                <w:sz w:val="24"/>
                <w:szCs w:val="24"/>
              </w:rPr>
              <w:t>Agar-agar</w:t>
            </w:r>
          </w:p>
        </w:tc>
        <w:tc>
          <w:tcPr>
            <w:tcW w:w="1239" w:type="dxa"/>
          </w:tcPr>
          <w:p w14:paraId="4666DA4C" w14:textId="17747CF0" w:rsidR="00C9484C" w:rsidRPr="00C9484C" w:rsidRDefault="00C9484C" w:rsidP="00C9484C">
            <w:pPr>
              <w:spacing w:line="480" w:lineRule="auto"/>
              <w:rPr>
                <w:rFonts w:ascii="Times New Roman" w:hAnsi="Times New Roman" w:cs="Times New Roman"/>
                <w:sz w:val="24"/>
                <w:szCs w:val="24"/>
              </w:rPr>
            </w:pPr>
            <w:r w:rsidRPr="00C9484C">
              <w:rPr>
                <w:rFonts w:ascii="Times New Roman" w:hAnsi="Times New Roman" w:cs="Times New Roman"/>
                <w:sz w:val="24"/>
                <w:szCs w:val="24"/>
              </w:rPr>
              <w:t>13 g</w:t>
            </w:r>
          </w:p>
        </w:tc>
        <w:tc>
          <w:tcPr>
            <w:tcW w:w="2730" w:type="dxa"/>
          </w:tcPr>
          <w:p w14:paraId="72D15FA3" w14:textId="771154CA" w:rsidR="00C9484C" w:rsidRPr="00C9484C" w:rsidRDefault="00C9484C" w:rsidP="00C9484C">
            <w:pPr>
              <w:spacing w:line="480" w:lineRule="auto"/>
              <w:rPr>
                <w:rFonts w:ascii="Times New Roman" w:hAnsi="Times New Roman" w:cs="Times New Roman"/>
                <w:sz w:val="24"/>
                <w:szCs w:val="24"/>
              </w:rPr>
            </w:pPr>
            <w:r w:rsidRPr="00C9484C">
              <w:rPr>
                <w:rFonts w:ascii="Times New Roman" w:hAnsi="Times New Roman" w:cs="Times New Roman"/>
                <w:sz w:val="24"/>
                <w:szCs w:val="24"/>
              </w:rPr>
              <w:t>1.08% w/v</w:t>
            </w:r>
          </w:p>
        </w:tc>
      </w:tr>
      <w:tr w:rsidR="00C9484C" w:rsidRPr="00C9484C" w14:paraId="377457F9" w14:textId="77777777" w:rsidTr="00B47686">
        <w:tc>
          <w:tcPr>
            <w:tcW w:w="4248" w:type="dxa"/>
          </w:tcPr>
          <w:p w14:paraId="20C326B0" w14:textId="02FF52F5" w:rsidR="00C9484C" w:rsidRPr="00C9484C" w:rsidRDefault="00C9484C" w:rsidP="00C9484C">
            <w:pPr>
              <w:spacing w:line="480" w:lineRule="auto"/>
              <w:rPr>
                <w:rFonts w:ascii="Times New Roman" w:hAnsi="Times New Roman" w:cs="Times New Roman"/>
                <w:sz w:val="24"/>
                <w:szCs w:val="24"/>
              </w:rPr>
            </w:pPr>
            <w:r w:rsidRPr="00C9484C">
              <w:rPr>
                <w:rFonts w:ascii="Times New Roman" w:hAnsi="Times New Roman" w:cs="Times New Roman"/>
                <w:sz w:val="24"/>
                <w:szCs w:val="24"/>
              </w:rPr>
              <w:t>Yeast</w:t>
            </w:r>
          </w:p>
        </w:tc>
        <w:tc>
          <w:tcPr>
            <w:tcW w:w="1239" w:type="dxa"/>
          </w:tcPr>
          <w:p w14:paraId="79AFE23C" w14:textId="6AE9B7B6" w:rsidR="00C9484C" w:rsidRPr="00C9484C" w:rsidRDefault="00C9484C" w:rsidP="00C9484C">
            <w:pPr>
              <w:spacing w:line="480" w:lineRule="auto"/>
              <w:rPr>
                <w:rFonts w:ascii="Times New Roman" w:hAnsi="Times New Roman" w:cs="Times New Roman"/>
                <w:sz w:val="24"/>
                <w:szCs w:val="24"/>
              </w:rPr>
            </w:pPr>
            <w:r w:rsidRPr="00C9484C">
              <w:rPr>
                <w:rFonts w:ascii="Times New Roman" w:hAnsi="Times New Roman" w:cs="Times New Roman"/>
                <w:sz w:val="24"/>
                <w:szCs w:val="24"/>
              </w:rPr>
              <w:t>26 g</w:t>
            </w:r>
          </w:p>
        </w:tc>
        <w:tc>
          <w:tcPr>
            <w:tcW w:w="2730" w:type="dxa"/>
          </w:tcPr>
          <w:p w14:paraId="6B870FC1" w14:textId="60512A3A" w:rsidR="00C9484C" w:rsidRPr="00C9484C" w:rsidRDefault="00C9484C" w:rsidP="00C9484C">
            <w:pPr>
              <w:spacing w:line="480" w:lineRule="auto"/>
              <w:rPr>
                <w:rFonts w:ascii="Times New Roman" w:hAnsi="Times New Roman" w:cs="Times New Roman"/>
                <w:sz w:val="24"/>
                <w:szCs w:val="24"/>
              </w:rPr>
            </w:pPr>
            <w:r w:rsidRPr="00C9484C">
              <w:rPr>
                <w:rFonts w:ascii="Times New Roman" w:hAnsi="Times New Roman" w:cs="Times New Roman"/>
                <w:sz w:val="24"/>
                <w:szCs w:val="24"/>
              </w:rPr>
              <w:t>2.17% w/v</w:t>
            </w:r>
          </w:p>
        </w:tc>
      </w:tr>
      <w:tr w:rsidR="00C9484C" w:rsidRPr="00C9484C" w14:paraId="6EF68954" w14:textId="77777777" w:rsidTr="00B47686">
        <w:tc>
          <w:tcPr>
            <w:tcW w:w="4248" w:type="dxa"/>
          </w:tcPr>
          <w:p w14:paraId="563C8989" w14:textId="181E22CD" w:rsidR="00C9484C" w:rsidRPr="00C9484C" w:rsidRDefault="00C9484C" w:rsidP="00C9484C">
            <w:pPr>
              <w:spacing w:line="480" w:lineRule="auto"/>
              <w:rPr>
                <w:rFonts w:ascii="Times New Roman" w:hAnsi="Times New Roman" w:cs="Times New Roman"/>
                <w:sz w:val="24"/>
                <w:szCs w:val="24"/>
              </w:rPr>
            </w:pPr>
            <w:r w:rsidRPr="00C9484C">
              <w:rPr>
                <w:rFonts w:ascii="Times New Roman" w:hAnsi="Times New Roman" w:cs="Times New Roman"/>
                <w:sz w:val="24"/>
                <w:szCs w:val="24"/>
              </w:rPr>
              <w:t>Corn Meal</w:t>
            </w:r>
          </w:p>
        </w:tc>
        <w:tc>
          <w:tcPr>
            <w:tcW w:w="1239" w:type="dxa"/>
          </w:tcPr>
          <w:p w14:paraId="6B752ED9" w14:textId="2339A79F" w:rsidR="00C9484C" w:rsidRPr="00C9484C" w:rsidRDefault="00C9484C" w:rsidP="00C9484C">
            <w:pPr>
              <w:spacing w:line="480" w:lineRule="auto"/>
              <w:rPr>
                <w:rFonts w:ascii="Times New Roman" w:hAnsi="Times New Roman" w:cs="Times New Roman"/>
                <w:sz w:val="24"/>
                <w:szCs w:val="24"/>
              </w:rPr>
            </w:pPr>
            <w:r w:rsidRPr="00C9484C">
              <w:rPr>
                <w:rFonts w:ascii="Times New Roman" w:hAnsi="Times New Roman" w:cs="Times New Roman"/>
                <w:sz w:val="24"/>
                <w:szCs w:val="24"/>
              </w:rPr>
              <w:t>90 g</w:t>
            </w:r>
          </w:p>
        </w:tc>
        <w:tc>
          <w:tcPr>
            <w:tcW w:w="2730" w:type="dxa"/>
          </w:tcPr>
          <w:p w14:paraId="0993321F" w14:textId="2244222E" w:rsidR="00C9484C" w:rsidRPr="00C9484C" w:rsidRDefault="00C9484C" w:rsidP="00C9484C">
            <w:pPr>
              <w:spacing w:line="480" w:lineRule="auto"/>
              <w:rPr>
                <w:rFonts w:ascii="Times New Roman" w:hAnsi="Times New Roman" w:cs="Times New Roman"/>
                <w:sz w:val="24"/>
                <w:szCs w:val="24"/>
              </w:rPr>
            </w:pPr>
            <w:r w:rsidRPr="00C9484C">
              <w:rPr>
                <w:rFonts w:ascii="Times New Roman" w:hAnsi="Times New Roman" w:cs="Times New Roman"/>
                <w:sz w:val="24"/>
                <w:szCs w:val="24"/>
              </w:rPr>
              <w:t>7.50% w/v</w:t>
            </w:r>
          </w:p>
        </w:tc>
      </w:tr>
      <w:tr w:rsidR="00C9484C" w:rsidRPr="00C9484C" w14:paraId="5AA8623D" w14:textId="77777777" w:rsidTr="00B47686">
        <w:tc>
          <w:tcPr>
            <w:tcW w:w="4248" w:type="dxa"/>
          </w:tcPr>
          <w:p w14:paraId="17E40E09" w14:textId="5729C2E1" w:rsidR="00C9484C" w:rsidRPr="00C9484C" w:rsidRDefault="00C9484C" w:rsidP="00C9484C">
            <w:pPr>
              <w:spacing w:line="480" w:lineRule="auto"/>
              <w:rPr>
                <w:rFonts w:ascii="Times New Roman" w:hAnsi="Times New Roman" w:cs="Times New Roman"/>
                <w:sz w:val="24"/>
                <w:szCs w:val="24"/>
              </w:rPr>
            </w:pPr>
            <w:r w:rsidRPr="00C9484C">
              <w:rPr>
                <w:rFonts w:ascii="Times New Roman" w:hAnsi="Times New Roman" w:cs="Times New Roman"/>
                <w:sz w:val="24"/>
                <w:szCs w:val="24"/>
              </w:rPr>
              <w:t>Sugar</w:t>
            </w:r>
          </w:p>
        </w:tc>
        <w:tc>
          <w:tcPr>
            <w:tcW w:w="1239" w:type="dxa"/>
          </w:tcPr>
          <w:p w14:paraId="22FB3867" w14:textId="75E044D1" w:rsidR="00C9484C" w:rsidRPr="00C9484C" w:rsidRDefault="00C9484C" w:rsidP="00C9484C">
            <w:pPr>
              <w:spacing w:line="480" w:lineRule="auto"/>
              <w:rPr>
                <w:rFonts w:ascii="Times New Roman" w:hAnsi="Times New Roman" w:cs="Times New Roman"/>
                <w:sz w:val="24"/>
                <w:szCs w:val="24"/>
              </w:rPr>
            </w:pPr>
            <w:r w:rsidRPr="00C9484C">
              <w:rPr>
                <w:rFonts w:ascii="Times New Roman" w:hAnsi="Times New Roman" w:cs="Times New Roman"/>
                <w:sz w:val="24"/>
                <w:szCs w:val="24"/>
              </w:rPr>
              <w:t>50 g</w:t>
            </w:r>
          </w:p>
        </w:tc>
        <w:tc>
          <w:tcPr>
            <w:tcW w:w="2730" w:type="dxa"/>
          </w:tcPr>
          <w:p w14:paraId="1AAF85B0" w14:textId="594A6A52" w:rsidR="00C9484C" w:rsidRPr="00C9484C" w:rsidRDefault="00C9484C" w:rsidP="00C9484C">
            <w:pPr>
              <w:spacing w:line="480" w:lineRule="auto"/>
              <w:rPr>
                <w:rFonts w:ascii="Times New Roman" w:hAnsi="Times New Roman" w:cs="Times New Roman"/>
                <w:sz w:val="24"/>
                <w:szCs w:val="24"/>
              </w:rPr>
            </w:pPr>
            <w:r w:rsidRPr="00C9484C">
              <w:rPr>
                <w:rFonts w:ascii="Times New Roman" w:hAnsi="Times New Roman" w:cs="Times New Roman"/>
                <w:sz w:val="24"/>
                <w:szCs w:val="24"/>
              </w:rPr>
              <w:t>4.17% w/v</w:t>
            </w:r>
          </w:p>
        </w:tc>
      </w:tr>
      <w:tr w:rsidR="00C9484C" w:rsidRPr="00C9484C" w14:paraId="4083AFEF" w14:textId="77777777" w:rsidTr="00B47686">
        <w:tc>
          <w:tcPr>
            <w:tcW w:w="4248" w:type="dxa"/>
          </w:tcPr>
          <w:p w14:paraId="7CB83F13" w14:textId="17012923" w:rsidR="00C9484C" w:rsidRPr="00C9484C" w:rsidRDefault="00C9484C" w:rsidP="00C9484C">
            <w:pPr>
              <w:spacing w:line="480" w:lineRule="auto"/>
              <w:rPr>
                <w:rFonts w:ascii="Times New Roman" w:hAnsi="Times New Roman" w:cs="Times New Roman"/>
                <w:sz w:val="24"/>
                <w:szCs w:val="24"/>
              </w:rPr>
            </w:pPr>
            <w:r w:rsidRPr="00C9484C">
              <w:rPr>
                <w:rFonts w:ascii="Times New Roman" w:hAnsi="Times New Roman" w:cs="Times New Roman"/>
                <w:sz w:val="24"/>
                <w:szCs w:val="24"/>
              </w:rPr>
              <w:t>Nipagin (Methylparaben, 10% solution</w:t>
            </w:r>
          </w:p>
        </w:tc>
        <w:tc>
          <w:tcPr>
            <w:tcW w:w="1239" w:type="dxa"/>
          </w:tcPr>
          <w:p w14:paraId="4358A421" w14:textId="37BCFFC3" w:rsidR="00C9484C" w:rsidRPr="00C9484C" w:rsidRDefault="00C9484C" w:rsidP="00C9484C">
            <w:pPr>
              <w:spacing w:line="480" w:lineRule="auto"/>
              <w:rPr>
                <w:rFonts w:ascii="Times New Roman" w:hAnsi="Times New Roman" w:cs="Times New Roman"/>
                <w:sz w:val="24"/>
                <w:szCs w:val="24"/>
              </w:rPr>
            </w:pPr>
            <w:r w:rsidRPr="00C9484C">
              <w:rPr>
                <w:rFonts w:ascii="Times New Roman" w:hAnsi="Times New Roman" w:cs="Times New Roman"/>
                <w:sz w:val="24"/>
                <w:szCs w:val="24"/>
              </w:rPr>
              <w:t>5 g</w:t>
            </w:r>
          </w:p>
        </w:tc>
        <w:tc>
          <w:tcPr>
            <w:tcW w:w="2730" w:type="dxa"/>
          </w:tcPr>
          <w:p w14:paraId="3A9D52F1" w14:textId="1F4F8EE2" w:rsidR="00C9484C" w:rsidRPr="00C9484C" w:rsidRDefault="00C9484C" w:rsidP="00C9484C">
            <w:pPr>
              <w:spacing w:line="480" w:lineRule="auto"/>
              <w:rPr>
                <w:rFonts w:ascii="Times New Roman" w:hAnsi="Times New Roman" w:cs="Times New Roman"/>
                <w:sz w:val="24"/>
                <w:szCs w:val="24"/>
              </w:rPr>
            </w:pPr>
            <w:r w:rsidRPr="00C9484C">
              <w:rPr>
                <w:rFonts w:ascii="Times New Roman" w:hAnsi="Times New Roman" w:cs="Times New Roman"/>
                <w:sz w:val="24"/>
                <w:szCs w:val="24"/>
              </w:rPr>
              <w:t>0.42% v/v</w:t>
            </w:r>
          </w:p>
        </w:tc>
      </w:tr>
    </w:tbl>
    <w:p w14:paraId="4FDF329C" w14:textId="77777777" w:rsidR="0017105B" w:rsidRPr="00C9484C" w:rsidRDefault="0017105B" w:rsidP="00C9484C">
      <w:pPr>
        <w:spacing w:line="480" w:lineRule="auto"/>
        <w:rPr>
          <w:rFonts w:ascii="Times New Roman" w:hAnsi="Times New Roman" w:cs="Times New Roman"/>
          <w:sz w:val="24"/>
          <w:szCs w:val="24"/>
        </w:rPr>
      </w:pPr>
      <w:r w:rsidRPr="00C9484C">
        <w:rPr>
          <w:rFonts w:ascii="Times New Roman" w:hAnsi="Times New Roman" w:cs="Times New Roman"/>
          <w:sz w:val="24"/>
          <w:szCs w:val="24"/>
        </w:rPr>
        <w:br w:type="page"/>
      </w:r>
    </w:p>
    <w:p w14:paraId="1CA82666" w14:textId="25E29343" w:rsidR="001469C4" w:rsidRPr="00F2343C" w:rsidRDefault="00B47686">
      <w:pPr>
        <w:pBdr>
          <w:top w:val="nil"/>
          <w:left w:val="nil"/>
          <w:bottom w:val="nil"/>
          <w:right w:val="nil"/>
          <w:between w:val="nil"/>
        </w:pBdr>
        <w:spacing w:before="28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sidR="00802A6C">
        <w:rPr>
          <w:rFonts w:ascii="Times New Roman" w:eastAsia="Times New Roman" w:hAnsi="Times New Roman" w:cs="Times New Roman"/>
          <w:b/>
          <w:bCs/>
          <w:sz w:val="24"/>
          <w:szCs w:val="24"/>
        </w:rPr>
        <w:t>References</w:t>
      </w:r>
    </w:p>
    <w:p w14:paraId="79D5D398" w14:textId="1D9D246C"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Adebayo, A. S., Agbaje, K., Adesina, S. K.</w:t>
      </w:r>
      <w:r w:rsidR="00B47686">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Olajubutu, O. (2023). Colorectal cancer: disease process, current treatment options, and future perspectives. </w:t>
      </w:r>
      <w:r w:rsidRPr="00132D47">
        <w:rPr>
          <w:rFonts w:ascii="Times New Roman" w:eastAsia="Times New Roman" w:hAnsi="Times New Roman" w:cs="Times New Roman"/>
          <w:i/>
          <w:sz w:val="24"/>
          <w:szCs w:val="24"/>
          <w:highlight w:val="white"/>
        </w:rPr>
        <w:t>Pharmaceutics</w:t>
      </w:r>
      <w:r>
        <w:rPr>
          <w:rFonts w:ascii="Times New Roman" w:eastAsia="Times New Roman" w:hAnsi="Times New Roman" w:cs="Times New Roman"/>
          <w:sz w:val="24"/>
          <w:szCs w:val="24"/>
          <w:highlight w:val="white"/>
        </w:rPr>
        <w:t>, 15(11), 2620.</w:t>
      </w:r>
    </w:p>
    <w:p w14:paraId="1B23656F" w14:textId="5C3EAEE7"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Ahmadzadeh</w:t>
      </w:r>
      <w:r w:rsidR="002D3827">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K</w:t>
      </w:r>
      <w:r w:rsidR="002D3827">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Roshdi Dizaji</w:t>
      </w:r>
      <w:r w:rsidR="002D3827">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S</w:t>
      </w:r>
      <w:r w:rsidR="002D3827">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Ramezani</w:t>
      </w:r>
      <w:r w:rsidR="002D3827">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F</w:t>
      </w:r>
      <w:r w:rsidR="002D3827">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Imani</w:t>
      </w:r>
      <w:r w:rsidR="002D3827">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F</w:t>
      </w:r>
      <w:r w:rsidR="002D3827">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Shamseddin</w:t>
      </w:r>
      <w:r w:rsidR="002D3827">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J</w:t>
      </w:r>
      <w:r w:rsidR="002D3827">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Sarveazad</w:t>
      </w:r>
      <w:r w:rsidR="002D3827">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A</w:t>
      </w:r>
      <w:r w:rsidR="000C6EA7">
        <w:rPr>
          <w:rFonts w:ascii="Times New Roman" w:eastAsia="Times New Roman" w:hAnsi="Times New Roman" w:cs="Times New Roman"/>
          <w:sz w:val="24"/>
          <w:szCs w:val="24"/>
          <w:highlight w:val="white"/>
        </w:rPr>
        <w:t>.</w:t>
      </w:r>
      <w:r w:rsidR="00B47686">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sidR="002D3827">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Yousefifard</w:t>
      </w:r>
      <w:r w:rsidR="002D3827">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M.</w:t>
      </w:r>
      <w:r w:rsidR="002D3827">
        <w:rPr>
          <w:rFonts w:ascii="Times New Roman" w:eastAsia="Times New Roman" w:hAnsi="Times New Roman" w:cs="Times New Roman"/>
          <w:sz w:val="24"/>
          <w:szCs w:val="24"/>
          <w:highlight w:val="white"/>
        </w:rPr>
        <w:t xml:space="preserve"> (2024).</w:t>
      </w:r>
      <w:r>
        <w:rPr>
          <w:rFonts w:ascii="Times New Roman" w:eastAsia="Times New Roman" w:hAnsi="Times New Roman" w:cs="Times New Roman"/>
          <w:sz w:val="24"/>
          <w:szCs w:val="24"/>
          <w:highlight w:val="white"/>
        </w:rPr>
        <w:t xml:space="preserve"> Potential therapeutic effects of apigenin for colorectal adenocarcinoma: A systematic review and meta-analysis</w:t>
      </w:r>
      <w:r w:rsidRPr="00132D47">
        <w:rPr>
          <w:rFonts w:ascii="Times New Roman" w:eastAsia="Times New Roman" w:hAnsi="Times New Roman" w:cs="Times New Roman"/>
          <w:i/>
          <w:sz w:val="24"/>
          <w:szCs w:val="24"/>
          <w:highlight w:val="white"/>
        </w:rPr>
        <w:t>. Cancer Med</w:t>
      </w:r>
      <w:r>
        <w:rPr>
          <w:rFonts w:ascii="Times New Roman" w:eastAsia="Times New Roman" w:hAnsi="Times New Roman" w:cs="Times New Roman"/>
          <w:sz w:val="24"/>
          <w:szCs w:val="24"/>
          <w:highlight w:val="white"/>
        </w:rPr>
        <w:t xml:space="preserve">. 13(17):e70171. doi: 10.1002/cam4.70171. </w:t>
      </w:r>
    </w:p>
    <w:p w14:paraId="37F70680" w14:textId="1EA183A1"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Aigner, F., Skias, C., Duller, D., Wisiak, S., Strohmeyer, K., Horvath, Z.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Koter, N. (2025). Salvage Surgery After Non-Curative Endoscopic Submucosal Dissection for Early Colorectal Cancer: A Comprehensive Review. </w:t>
      </w:r>
      <w:r w:rsidRPr="00132D47">
        <w:rPr>
          <w:rFonts w:ascii="Times New Roman" w:eastAsia="Times New Roman" w:hAnsi="Times New Roman" w:cs="Times New Roman"/>
          <w:i/>
          <w:sz w:val="24"/>
          <w:szCs w:val="24"/>
          <w:highlight w:val="white"/>
        </w:rPr>
        <w:t>Journal of Clinical Medicine</w:t>
      </w:r>
      <w:r>
        <w:rPr>
          <w:rFonts w:ascii="Times New Roman" w:eastAsia="Times New Roman" w:hAnsi="Times New Roman" w:cs="Times New Roman"/>
          <w:sz w:val="24"/>
          <w:szCs w:val="24"/>
          <w:highlight w:val="white"/>
        </w:rPr>
        <w:t>, 14(17), 6343.</w:t>
      </w:r>
    </w:p>
    <w:p w14:paraId="1AC138AA" w14:textId="76209AC3"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Alatise, O., Allen, H., Barton-Burke, M., Abiodun, A., Ajayi, A., Ajayi, N., Akande, K., Akitikori, O., Alkali, M., Anyanechi, C., Bello, R., Bojuwoye, M., Chukwurah, S., Egbegbedia, P., Ekwunife, C., Ijoma, N., Madubuike, C., Manko, M., Nnabuchi, C., Obateru, O., Okereke, C., Okonkwo, U., Omaiye, P., Oyeleke, G., Kahn, R., Doyle, A., Samaila, A., Udofia, U., Ugiagbe, R., Yusuf, M., Zawaya, K., Tansley, G., Knapp, G., Kingham, P.,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Murthy, S. (2025). Endoscopy capacity in Nigeria: a national needs assessment and recommendations. </w:t>
      </w:r>
      <w:r w:rsidRPr="00132D47">
        <w:rPr>
          <w:rFonts w:ascii="Times New Roman" w:eastAsia="Times New Roman" w:hAnsi="Times New Roman" w:cs="Times New Roman"/>
          <w:i/>
          <w:sz w:val="24"/>
          <w:szCs w:val="24"/>
          <w:highlight w:val="white"/>
        </w:rPr>
        <w:t>Surgical Endoscopy</w:t>
      </w:r>
      <w:r w:rsidR="00132D47">
        <w:rPr>
          <w:rFonts w:ascii="Times New Roman" w:eastAsia="Times New Roman" w:hAnsi="Times New Roman" w:cs="Times New Roman"/>
          <w:sz w:val="24"/>
          <w:szCs w:val="24"/>
          <w:highlight w:val="white"/>
        </w:rPr>
        <w:t>, 39:</w:t>
      </w:r>
      <w:r>
        <w:rPr>
          <w:rFonts w:ascii="Times New Roman" w:eastAsia="Times New Roman" w:hAnsi="Times New Roman" w:cs="Times New Roman"/>
          <w:sz w:val="24"/>
          <w:szCs w:val="24"/>
          <w:highlight w:val="white"/>
        </w:rPr>
        <w:t xml:space="preserve"> 5698 - 5713. https://doi.org/10.1007/s00464-025-11874-3.</w:t>
      </w:r>
    </w:p>
    <w:p w14:paraId="01A79546" w14:textId="73E42539"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Almatroodi, S., Almatroudi, A., Alharbi, H., Khan, A.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Rahmani, A. (2024). Effects and Mechanisms of Luteolin, a Plant-Based Flavonoid, in the Prevention of Cancers via Modulation of Inflammation and Cell Signaling Molecules. </w:t>
      </w:r>
      <w:r w:rsidRPr="00132D47">
        <w:rPr>
          <w:rFonts w:ascii="Times New Roman" w:eastAsia="Times New Roman" w:hAnsi="Times New Roman" w:cs="Times New Roman"/>
          <w:i/>
          <w:sz w:val="24"/>
          <w:szCs w:val="24"/>
          <w:highlight w:val="white"/>
        </w:rPr>
        <w:t>Molecules</w:t>
      </w:r>
      <w:r>
        <w:rPr>
          <w:rFonts w:ascii="Times New Roman" w:eastAsia="Times New Roman" w:hAnsi="Times New Roman" w:cs="Times New Roman"/>
          <w:sz w:val="24"/>
          <w:szCs w:val="24"/>
          <w:highlight w:val="white"/>
        </w:rPr>
        <w:t>, 29. https://doi.org/10.3390/molecules29051093.</w:t>
      </w:r>
    </w:p>
    <w:p w14:paraId="151644CC" w14:textId="765308C9"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Anderson, S. E. (2025). Characterization of a Drosophila CRC 3-hit model using genetic approaches.</w:t>
      </w:r>
      <w:r w:rsidR="00132D47">
        <w:rPr>
          <w:rFonts w:ascii="Times New Roman" w:eastAsia="Times New Roman" w:hAnsi="Times New Roman" w:cs="Times New Roman"/>
          <w:sz w:val="24"/>
          <w:szCs w:val="24"/>
          <w:highlight w:val="white"/>
        </w:rPr>
        <w:t xml:space="preserve"> </w:t>
      </w:r>
      <w:r w:rsidR="00132D47" w:rsidRPr="00132D47">
        <w:rPr>
          <w:rFonts w:ascii="Times New Roman" w:eastAsia="Times New Roman" w:hAnsi="Times New Roman" w:cs="Times New Roman"/>
          <w:i/>
          <w:sz w:val="24"/>
          <w:szCs w:val="24"/>
          <w:highlight w:val="white"/>
        </w:rPr>
        <w:t>MSc Dissertation, University of Dayton</w:t>
      </w:r>
      <w:r w:rsidR="00132D47">
        <w:rPr>
          <w:rFonts w:ascii="Times New Roman" w:eastAsia="Times New Roman" w:hAnsi="Times New Roman" w:cs="Times New Roman"/>
          <w:i/>
          <w:sz w:val="24"/>
          <w:szCs w:val="24"/>
          <w:highlight w:val="white"/>
        </w:rPr>
        <w:t>.</w:t>
      </w:r>
    </w:p>
    <w:p w14:paraId="1259F997" w14:textId="77777777"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Aravindaram, K. and Yang, N. S. (2010). Anti-inflammatory plant natural products for cancer therapy. </w:t>
      </w:r>
      <w:r w:rsidRPr="00132D47">
        <w:rPr>
          <w:rFonts w:ascii="Times New Roman" w:eastAsia="Times New Roman" w:hAnsi="Times New Roman" w:cs="Times New Roman"/>
          <w:i/>
          <w:sz w:val="24"/>
          <w:szCs w:val="24"/>
          <w:highlight w:val="white"/>
        </w:rPr>
        <w:t>Planta medica</w:t>
      </w:r>
      <w:r>
        <w:rPr>
          <w:rFonts w:ascii="Times New Roman" w:eastAsia="Times New Roman" w:hAnsi="Times New Roman" w:cs="Times New Roman"/>
          <w:sz w:val="24"/>
          <w:szCs w:val="24"/>
          <w:highlight w:val="white"/>
        </w:rPr>
        <w:t>, 76(11), 1103-1117.</w:t>
      </w:r>
    </w:p>
    <w:p w14:paraId="20C8CCAB" w14:textId="2E18FE26"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Arnold, M., Sierra, M. S., Laversanne, M., Soerjomataram, I., Jemal, A.,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Bray, F. (2017). Global patterns and trends in colorectal cancer incidence and mortality. </w:t>
      </w:r>
      <w:r w:rsidRPr="00132D47">
        <w:rPr>
          <w:rFonts w:ascii="Times New Roman" w:eastAsia="Times New Roman" w:hAnsi="Times New Roman" w:cs="Times New Roman"/>
          <w:i/>
          <w:sz w:val="24"/>
          <w:szCs w:val="24"/>
          <w:highlight w:val="white"/>
        </w:rPr>
        <w:t>Gut</w:t>
      </w:r>
      <w:r w:rsidR="00132D47">
        <w:rPr>
          <w:rFonts w:ascii="Times New Roman" w:eastAsia="Times New Roman" w:hAnsi="Times New Roman" w:cs="Times New Roman"/>
          <w:sz w:val="24"/>
          <w:szCs w:val="24"/>
          <w:highlight w:val="white"/>
        </w:rPr>
        <w:t>, 66(4):</w:t>
      </w:r>
      <w:r>
        <w:rPr>
          <w:rFonts w:ascii="Times New Roman" w:eastAsia="Times New Roman" w:hAnsi="Times New Roman" w:cs="Times New Roman"/>
          <w:sz w:val="24"/>
          <w:szCs w:val="24"/>
          <w:highlight w:val="white"/>
        </w:rPr>
        <w:t xml:space="preserve"> 683-691.</w:t>
      </w:r>
    </w:p>
    <w:p w14:paraId="52607DCC" w14:textId="711F8758" w:rsidR="00802A6C" w:rsidRDefault="00132D47"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Ashokkumar, P. and</w:t>
      </w:r>
      <w:r w:rsidR="00802A6C">
        <w:rPr>
          <w:rFonts w:ascii="Times New Roman" w:eastAsia="Times New Roman" w:hAnsi="Times New Roman" w:cs="Times New Roman"/>
          <w:sz w:val="24"/>
          <w:szCs w:val="24"/>
          <w:highlight w:val="white"/>
        </w:rPr>
        <w:t xml:space="preserve"> Sudhandiran, G. (2011). Luteolin inhibits cell proliferation during Azoxymethane-induced experimental colon carcinogenesis via Wnt/β-catenin pathway. </w:t>
      </w:r>
      <w:r w:rsidR="00802A6C" w:rsidRPr="00132D47">
        <w:rPr>
          <w:rFonts w:ascii="Times New Roman" w:eastAsia="Times New Roman" w:hAnsi="Times New Roman" w:cs="Times New Roman"/>
          <w:i/>
          <w:sz w:val="24"/>
          <w:szCs w:val="24"/>
          <w:highlight w:val="white"/>
        </w:rPr>
        <w:t>Investigational new drugs</w:t>
      </w:r>
      <w:r w:rsidR="00802A6C">
        <w:rPr>
          <w:rFonts w:ascii="Times New Roman" w:eastAsia="Times New Roman" w:hAnsi="Times New Roman" w:cs="Times New Roman"/>
          <w:sz w:val="24"/>
          <w:szCs w:val="24"/>
          <w:highlight w:val="white"/>
        </w:rPr>
        <w:t>, 29(2), 273-284.</w:t>
      </w:r>
    </w:p>
    <w:p w14:paraId="5AC6C9BF" w14:textId="10033785"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Azwar, S., Se</w:t>
      </w:r>
      <w:r w:rsidR="002D3827">
        <w:rPr>
          <w:rFonts w:ascii="Times New Roman" w:eastAsia="Times New Roman" w:hAnsi="Times New Roman" w:cs="Times New Roman"/>
          <w:sz w:val="24"/>
          <w:szCs w:val="24"/>
          <w:highlight w:val="white"/>
        </w:rPr>
        <w:t>ow, H., Abdullah, M., Jabar, M.</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Mohtarrudin, N. (2021). Recent Updates on Mechanisms of Resistance to 5-Fluorouracil and Reversal Strategies in Colon Cancer Treatment. </w:t>
      </w:r>
      <w:r w:rsidRPr="00E9654C">
        <w:rPr>
          <w:rFonts w:ascii="Times New Roman" w:eastAsia="Times New Roman" w:hAnsi="Times New Roman" w:cs="Times New Roman"/>
          <w:i/>
          <w:sz w:val="24"/>
          <w:szCs w:val="24"/>
          <w:highlight w:val="white"/>
        </w:rPr>
        <w:t>Biology</w:t>
      </w:r>
      <w:r>
        <w:rPr>
          <w:rFonts w:ascii="Times New Roman" w:eastAsia="Times New Roman" w:hAnsi="Times New Roman" w:cs="Times New Roman"/>
          <w:sz w:val="24"/>
          <w:szCs w:val="24"/>
          <w:highlight w:val="white"/>
        </w:rPr>
        <w:t>, 10. https://doi.org/10.3390/biology10090854.</w:t>
      </w:r>
    </w:p>
    <w:p w14:paraId="17368340" w14:textId="47803B44"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Baby</w:t>
      </w:r>
      <w:r w:rsidR="00E9654C">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K</w:t>
      </w:r>
      <w:r w:rsidR="00E9654C">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Maity</w:t>
      </w:r>
      <w:r w:rsidR="00E9654C">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S</w:t>
      </w:r>
      <w:r w:rsidR="00E9654C">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Mehta</w:t>
      </w:r>
      <w:r w:rsidR="00E9654C">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C</w:t>
      </w:r>
      <w:r w:rsidR="00E9654C">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H</w:t>
      </w:r>
      <w:r w:rsidR="00E9654C">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Nayak</w:t>
      </w:r>
      <w:r w:rsidR="00E9654C">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U</w:t>
      </w:r>
      <w:r w:rsidR="00E9654C">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Y</w:t>
      </w:r>
      <w:r w:rsidR="00E9654C">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Shenoy</w:t>
      </w:r>
      <w:r w:rsidR="00E9654C">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G</w:t>
      </w:r>
      <w:r w:rsidR="00E9654C">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G</w:t>
      </w:r>
      <w:r w:rsidR="00E9654C">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Pai</w:t>
      </w:r>
      <w:r w:rsidR="00E9654C">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K</w:t>
      </w:r>
      <w:r w:rsidR="00E9654C">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S</w:t>
      </w:r>
      <w:r w:rsidR="00E9654C">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R</w:t>
      </w:r>
      <w:r w:rsidR="00E9654C">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Harikumar</w:t>
      </w:r>
      <w:r w:rsidR="00E9654C">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K</w:t>
      </w:r>
      <w:r w:rsidR="00E9654C">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B</w:t>
      </w:r>
      <w:r w:rsidR="00E9654C">
        <w:rPr>
          <w:rFonts w:ascii="Times New Roman" w:eastAsia="Times New Roman" w:hAnsi="Times New Roman" w:cs="Times New Roman"/>
          <w:sz w:val="24"/>
          <w:szCs w:val="24"/>
          <w:highlight w:val="white"/>
        </w:rPr>
        <w:t>.</w:t>
      </w:r>
      <w:r w:rsidR="002D3827">
        <w:rPr>
          <w:rFonts w:ascii="Times New Roman" w:eastAsia="Times New Roman" w:hAnsi="Times New Roman" w:cs="Times New Roman"/>
          <w:sz w:val="24"/>
          <w:szCs w:val="24"/>
          <w:highlight w:val="white"/>
        </w:rPr>
        <w:t xml:space="preserve"> and</w:t>
      </w:r>
      <w:r>
        <w:rPr>
          <w:rFonts w:ascii="Times New Roman" w:eastAsia="Times New Roman" w:hAnsi="Times New Roman" w:cs="Times New Roman"/>
          <w:sz w:val="24"/>
          <w:szCs w:val="24"/>
          <w:highlight w:val="white"/>
        </w:rPr>
        <w:t xml:space="preserve"> Nayak</w:t>
      </w:r>
      <w:r w:rsidR="00E9654C">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Y.</w:t>
      </w:r>
      <w:r w:rsidR="00E9654C">
        <w:rPr>
          <w:rFonts w:ascii="Times New Roman" w:eastAsia="Times New Roman" w:hAnsi="Times New Roman" w:cs="Times New Roman"/>
          <w:sz w:val="24"/>
          <w:szCs w:val="24"/>
          <w:highlight w:val="white"/>
        </w:rPr>
        <w:t xml:space="preserve"> (2023).</w:t>
      </w:r>
      <w:r>
        <w:rPr>
          <w:rFonts w:ascii="Times New Roman" w:eastAsia="Times New Roman" w:hAnsi="Times New Roman" w:cs="Times New Roman"/>
          <w:sz w:val="24"/>
          <w:szCs w:val="24"/>
          <w:highlight w:val="white"/>
        </w:rPr>
        <w:t xml:space="preserve"> Computational drug repurposing of Akt-1 allosteric inhibitors for non-small cell lung cancer. </w:t>
      </w:r>
      <w:r w:rsidRPr="00E9654C">
        <w:rPr>
          <w:rFonts w:ascii="Times New Roman" w:eastAsia="Times New Roman" w:hAnsi="Times New Roman" w:cs="Times New Roman"/>
          <w:i/>
          <w:sz w:val="24"/>
          <w:szCs w:val="24"/>
          <w:highlight w:val="white"/>
        </w:rPr>
        <w:t>Sci Rep</w:t>
      </w:r>
      <w:r>
        <w:rPr>
          <w:rFonts w:ascii="Times New Roman" w:eastAsia="Times New Roman" w:hAnsi="Times New Roman" w:cs="Times New Roman"/>
          <w:sz w:val="24"/>
          <w:szCs w:val="24"/>
          <w:highlight w:val="white"/>
        </w:rPr>
        <w:t>. 16;13</w:t>
      </w:r>
      <w:r w:rsidR="00E9654C">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 xml:space="preserve">(1):7947. doi: 10.1038/s41598-023-35122-7. </w:t>
      </w:r>
    </w:p>
    <w:p w14:paraId="2155E014" w14:textId="6C6CE1D0"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Bai, S., Chen, B., Li, F., Yao, W., Wei, Y.,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Hua, Y. (2025). Network-based pharmacological study of the mechanism of Baitouweng decoction in the treatment of ulcerative colitis through the NF-κB pathway. </w:t>
      </w:r>
      <w:r w:rsidRPr="00E9654C">
        <w:rPr>
          <w:rFonts w:ascii="Times New Roman" w:eastAsia="Times New Roman" w:hAnsi="Times New Roman" w:cs="Times New Roman"/>
          <w:i/>
          <w:sz w:val="24"/>
          <w:szCs w:val="24"/>
          <w:highlight w:val="white"/>
        </w:rPr>
        <w:t>Medicine</w:t>
      </w:r>
      <w:r>
        <w:rPr>
          <w:rFonts w:ascii="Times New Roman" w:eastAsia="Times New Roman" w:hAnsi="Times New Roman" w:cs="Times New Roman"/>
          <w:sz w:val="24"/>
          <w:szCs w:val="24"/>
          <w:highlight w:val="white"/>
        </w:rPr>
        <w:t>, 104(42), e44167</w:t>
      </w:r>
    </w:p>
    <w:p w14:paraId="76823116" w14:textId="663DD20E"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Bakillah, E., Rosenthal, J., Syvyk, S., Wirtalla, C., Sharpe, J., Merchant, R., Mehta, S., Guerra, C.,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Kelz, R. (2025). The Burden of Colorectal Cancer Treatment on Quality of Life: A Paired Longitudinal Analysis of Medicare Advantage Enrollees. </w:t>
      </w:r>
      <w:r w:rsidRPr="00E9654C">
        <w:rPr>
          <w:rFonts w:ascii="Times New Roman" w:eastAsia="Times New Roman" w:hAnsi="Times New Roman" w:cs="Times New Roman"/>
          <w:i/>
          <w:sz w:val="24"/>
          <w:szCs w:val="24"/>
          <w:highlight w:val="white"/>
        </w:rPr>
        <w:t>Journal of Surgical Oncology</w:t>
      </w:r>
      <w:r>
        <w:rPr>
          <w:rFonts w:ascii="Times New Roman" w:eastAsia="Times New Roman" w:hAnsi="Times New Roman" w:cs="Times New Roman"/>
          <w:sz w:val="24"/>
          <w:szCs w:val="24"/>
          <w:highlight w:val="white"/>
        </w:rPr>
        <w:t>, 132. https://doi.org/10.1002/jso.28161.</w:t>
      </w:r>
    </w:p>
    <w:p w14:paraId="7BA20051" w14:textId="6ED7AEE8"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Battaglin, F., Naseem, M., Lenz, H. J.,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Salem, M. E. (2018). Microsatellite instability in colorectal cancer: overview of its clinical significance and novel perspectives. </w:t>
      </w:r>
      <w:r w:rsidRPr="00E9654C">
        <w:rPr>
          <w:rFonts w:ascii="Times New Roman" w:eastAsia="Times New Roman" w:hAnsi="Times New Roman" w:cs="Times New Roman"/>
          <w:i/>
          <w:sz w:val="24"/>
          <w:szCs w:val="24"/>
          <w:highlight w:val="white"/>
        </w:rPr>
        <w:t xml:space="preserve">Clinical advances in hematology </w:t>
      </w:r>
      <w:r w:rsidR="00E73F0F">
        <w:rPr>
          <w:rFonts w:ascii="Times New Roman" w:eastAsia="Times New Roman" w:hAnsi="Times New Roman" w:cs="Times New Roman"/>
          <w:i/>
          <w:sz w:val="24"/>
          <w:szCs w:val="24"/>
          <w:highlight w:val="white"/>
        </w:rPr>
        <w:t>and</w:t>
      </w:r>
      <w:r w:rsidRPr="00E9654C">
        <w:rPr>
          <w:rFonts w:ascii="Times New Roman" w:eastAsia="Times New Roman" w:hAnsi="Times New Roman" w:cs="Times New Roman"/>
          <w:i/>
          <w:sz w:val="24"/>
          <w:szCs w:val="24"/>
          <w:highlight w:val="white"/>
        </w:rPr>
        <w:t xml:space="preserve"> oncology</w:t>
      </w:r>
      <w:r>
        <w:rPr>
          <w:rFonts w:ascii="Times New Roman" w:eastAsia="Times New Roman" w:hAnsi="Times New Roman" w:cs="Times New Roman"/>
          <w:sz w:val="24"/>
          <w:szCs w:val="24"/>
          <w:highlight w:val="white"/>
        </w:rPr>
        <w:t xml:space="preserve">: </w:t>
      </w:r>
      <w:r w:rsidRPr="00E9654C">
        <w:rPr>
          <w:rFonts w:ascii="Times New Roman" w:eastAsia="Times New Roman" w:hAnsi="Times New Roman" w:cs="Times New Roman"/>
          <w:i/>
          <w:sz w:val="24"/>
          <w:szCs w:val="24"/>
          <w:highlight w:val="white"/>
        </w:rPr>
        <w:t>H</w:t>
      </w:r>
      <w:r w:rsidR="00E73F0F">
        <w:rPr>
          <w:rFonts w:ascii="Times New Roman" w:eastAsia="Times New Roman" w:hAnsi="Times New Roman" w:cs="Times New Roman"/>
          <w:i/>
          <w:sz w:val="24"/>
          <w:szCs w:val="24"/>
          <w:highlight w:val="white"/>
        </w:rPr>
        <w:t>and</w:t>
      </w:r>
      <w:r w:rsidRPr="00E9654C">
        <w:rPr>
          <w:rFonts w:ascii="Times New Roman" w:eastAsia="Times New Roman" w:hAnsi="Times New Roman" w:cs="Times New Roman"/>
          <w:i/>
          <w:sz w:val="24"/>
          <w:szCs w:val="24"/>
          <w:highlight w:val="white"/>
        </w:rPr>
        <w:t>O</w:t>
      </w:r>
      <w:r>
        <w:rPr>
          <w:rFonts w:ascii="Times New Roman" w:eastAsia="Times New Roman" w:hAnsi="Times New Roman" w:cs="Times New Roman"/>
          <w:sz w:val="24"/>
          <w:szCs w:val="24"/>
          <w:highlight w:val="white"/>
        </w:rPr>
        <w:t>, 16(11), 735.</w:t>
      </w:r>
    </w:p>
    <w:p w14:paraId="10F30FDA" w14:textId="22D02D4D"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Bocchi, M., Fernandes, E. V., Pereira, N. D. S.,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Amarante, M. K. (2025). Etiopathogenesis and Treatment of Colorectal Cancer</w:t>
      </w:r>
      <w:r w:rsidRPr="002D3827">
        <w:rPr>
          <w:rFonts w:ascii="Times New Roman" w:eastAsia="Times New Roman" w:hAnsi="Times New Roman" w:cs="Times New Roman"/>
          <w:i/>
          <w:sz w:val="24"/>
          <w:szCs w:val="24"/>
          <w:highlight w:val="white"/>
        </w:rPr>
        <w:t>. Immuno</w:t>
      </w:r>
      <w:r>
        <w:rPr>
          <w:rFonts w:ascii="Times New Roman" w:eastAsia="Times New Roman" w:hAnsi="Times New Roman" w:cs="Times New Roman"/>
          <w:sz w:val="24"/>
          <w:szCs w:val="24"/>
          <w:highlight w:val="white"/>
        </w:rPr>
        <w:t>, 5(3), 31.</w:t>
      </w:r>
    </w:p>
    <w:p w14:paraId="57B3CB60" w14:textId="2A273797"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Bray, F., Ferlay, J., Soerjomataram, I., Siegel, R. L., Torre, L. A.,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Jemal, A. (2018). Global cancer statistics 2018: GLOBOCAN estimates of incidence and mortality worldwide for 36 cancers in 185 countries. </w:t>
      </w:r>
      <w:r w:rsidRPr="00E9654C">
        <w:rPr>
          <w:rFonts w:ascii="Times New Roman" w:eastAsia="Times New Roman" w:hAnsi="Times New Roman" w:cs="Times New Roman"/>
          <w:i/>
          <w:sz w:val="24"/>
          <w:szCs w:val="24"/>
          <w:highlight w:val="white"/>
        </w:rPr>
        <w:t>CA: a cancer journal for clinicians</w:t>
      </w:r>
      <w:r>
        <w:rPr>
          <w:rFonts w:ascii="Times New Roman" w:eastAsia="Times New Roman" w:hAnsi="Times New Roman" w:cs="Times New Roman"/>
          <w:sz w:val="24"/>
          <w:szCs w:val="24"/>
          <w:highlight w:val="white"/>
        </w:rPr>
        <w:t>, 68(6), 394-424.</w:t>
      </w:r>
    </w:p>
    <w:p w14:paraId="278E1005" w14:textId="1CFBB2C2"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Busuttil, R. A., Zapparoli, G. V., Haupt, S., Fennell, C</w:t>
      </w:r>
      <w:r w:rsidR="002D3827">
        <w:rPr>
          <w:rFonts w:ascii="Times New Roman" w:eastAsia="Times New Roman" w:hAnsi="Times New Roman" w:cs="Times New Roman"/>
          <w:sz w:val="24"/>
          <w:szCs w:val="24"/>
          <w:highlight w:val="white"/>
        </w:rPr>
        <w:t>., Wong, S. Q., Pang, J. M. B</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Boussioutas, A. (2014). Role of p53 in the progression of gastric cancer. </w:t>
      </w:r>
      <w:r w:rsidRPr="00E9654C">
        <w:rPr>
          <w:rFonts w:ascii="Times New Roman" w:eastAsia="Times New Roman" w:hAnsi="Times New Roman" w:cs="Times New Roman"/>
          <w:i/>
          <w:sz w:val="24"/>
          <w:szCs w:val="24"/>
          <w:highlight w:val="white"/>
        </w:rPr>
        <w:t>Oncotarget</w:t>
      </w:r>
      <w:r>
        <w:rPr>
          <w:rFonts w:ascii="Times New Roman" w:eastAsia="Times New Roman" w:hAnsi="Times New Roman" w:cs="Times New Roman"/>
          <w:sz w:val="24"/>
          <w:szCs w:val="24"/>
          <w:highlight w:val="white"/>
        </w:rPr>
        <w:t>, 5(23), 12016.</w:t>
      </w:r>
    </w:p>
    <w:p w14:paraId="10096A1C" w14:textId="754CF1CC"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Chang, S. C., Li, A. F. Y., Lin, P. C., Lin, </w:t>
      </w:r>
      <w:r w:rsidR="002D3827">
        <w:rPr>
          <w:rFonts w:ascii="Times New Roman" w:eastAsia="Times New Roman" w:hAnsi="Times New Roman" w:cs="Times New Roman"/>
          <w:sz w:val="24"/>
          <w:szCs w:val="24"/>
          <w:highlight w:val="white"/>
        </w:rPr>
        <w:t>C. C., Lin, H. H., Huang, S. C</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Lan, Y. T. (2020). Clinicopathological and molecular profiles of sporadic microsatellite unstable colorectal cancer with or without the CpG island methylator phenotype (CIMP). </w:t>
      </w:r>
      <w:r w:rsidRPr="002D3827">
        <w:rPr>
          <w:rFonts w:ascii="Times New Roman" w:eastAsia="Times New Roman" w:hAnsi="Times New Roman" w:cs="Times New Roman"/>
          <w:i/>
          <w:sz w:val="24"/>
          <w:szCs w:val="24"/>
          <w:highlight w:val="white"/>
        </w:rPr>
        <w:t>Cancers</w:t>
      </w:r>
      <w:r>
        <w:rPr>
          <w:rFonts w:ascii="Times New Roman" w:eastAsia="Times New Roman" w:hAnsi="Times New Roman" w:cs="Times New Roman"/>
          <w:sz w:val="24"/>
          <w:szCs w:val="24"/>
          <w:highlight w:val="white"/>
        </w:rPr>
        <w:t>, 12(11), 3487.</w:t>
      </w:r>
    </w:p>
    <w:p w14:paraId="543862ED" w14:textId="240F5E81" w:rsidR="00802A6C" w:rsidRDefault="002D3827"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Chen, J.</w:t>
      </w:r>
      <w:r w:rsidR="00802A6C">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sidR="00802A6C">
        <w:rPr>
          <w:rFonts w:ascii="Times New Roman" w:eastAsia="Times New Roman" w:hAnsi="Times New Roman" w:cs="Times New Roman"/>
          <w:sz w:val="24"/>
          <w:szCs w:val="24"/>
          <w:highlight w:val="white"/>
        </w:rPr>
        <w:t xml:space="preserve"> Huang, X. F. (2009). The signal pathways in azoxymethane-induced colon cancer and preventive implications. </w:t>
      </w:r>
      <w:r w:rsidR="00802A6C" w:rsidRPr="002D3827">
        <w:rPr>
          <w:rFonts w:ascii="Times New Roman" w:eastAsia="Times New Roman" w:hAnsi="Times New Roman" w:cs="Times New Roman"/>
          <w:i/>
          <w:sz w:val="24"/>
          <w:szCs w:val="24"/>
          <w:highlight w:val="white"/>
        </w:rPr>
        <w:t xml:space="preserve">Cancer biology </w:t>
      </w:r>
      <w:r w:rsidR="00E73F0F" w:rsidRPr="002D3827">
        <w:rPr>
          <w:rFonts w:ascii="Times New Roman" w:eastAsia="Times New Roman" w:hAnsi="Times New Roman" w:cs="Times New Roman"/>
          <w:i/>
          <w:sz w:val="24"/>
          <w:szCs w:val="24"/>
          <w:highlight w:val="white"/>
        </w:rPr>
        <w:t>and</w:t>
      </w:r>
      <w:r w:rsidR="00802A6C" w:rsidRPr="002D3827">
        <w:rPr>
          <w:rFonts w:ascii="Times New Roman" w:eastAsia="Times New Roman" w:hAnsi="Times New Roman" w:cs="Times New Roman"/>
          <w:i/>
          <w:sz w:val="24"/>
          <w:szCs w:val="24"/>
          <w:highlight w:val="white"/>
        </w:rPr>
        <w:t xml:space="preserve"> therapy</w:t>
      </w:r>
      <w:r w:rsidR="00802A6C">
        <w:rPr>
          <w:rFonts w:ascii="Times New Roman" w:eastAsia="Times New Roman" w:hAnsi="Times New Roman" w:cs="Times New Roman"/>
          <w:sz w:val="24"/>
          <w:szCs w:val="24"/>
          <w:highlight w:val="white"/>
        </w:rPr>
        <w:t>, 8(14), 1313-1317.</w:t>
      </w:r>
    </w:p>
    <w:p w14:paraId="12380521" w14:textId="03C215FE"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Chuu, C. P., Lin, H. P., Ciaccio, M. F., Kokontis, J. M., Hau</w:t>
      </w:r>
      <w:r w:rsidR="002D3827">
        <w:rPr>
          <w:rFonts w:ascii="Times New Roman" w:eastAsia="Times New Roman" w:hAnsi="Times New Roman" w:cs="Times New Roman"/>
          <w:sz w:val="24"/>
          <w:szCs w:val="24"/>
          <w:highlight w:val="white"/>
        </w:rPr>
        <w:t>se Jr, R. J., Hiipakka, R. A.</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Jones, R. B. (2012). Caffeic acid phenethyl ester suppresses the proliferation of human prostate cancer cells through inhibition of p70S6K and Akt signaling networks. </w:t>
      </w:r>
      <w:r w:rsidRPr="0070776B">
        <w:rPr>
          <w:rFonts w:ascii="Times New Roman" w:eastAsia="Times New Roman" w:hAnsi="Times New Roman" w:cs="Times New Roman"/>
          <w:i/>
          <w:sz w:val="24"/>
          <w:szCs w:val="24"/>
          <w:highlight w:val="white"/>
        </w:rPr>
        <w:t>Cancer Prevention Research</w:t>
      </w:r>
      <w:r>
        <w:rPr>
          <w:rFonts w:ascii="Times New Roman" w:eastAsia="Times New Roman" w:hAnsi="Times New Roman" w:cs="Times New Roman"/>
          <w:sz w:val="24"/>
          <w:szCs w:val="24"/>
          <w:highlight w:val="white"/>
        </w:rPr>
        <w:t>, 5(5), 788-797.</w:t>
      </w:r>
    </w:p>
    <w:p w14:paraId="0A296D1A" w14:textId="72793541"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Dalrymple, L. I. (2014). Chemopreventive and Possible Toxicological Effects of Cocoa and Coffee in AOM-Induced Fisher 344 Male Rats (</w:t>
      </w:r>
      <w:r w:rsidRPr="00E9654C">
        <w:rPr>
          <w:rFonts w:ascii="Times New Roman" w:eastAsia="Times New Roman" w:hAnsi="Times New Roman" w:cs="Times New Roman"/>
          <w:i/>
          <w:sz w:val="24"/>
          <w:szCs w:val="24"/>
          <w:highlight w:val="white"/>
        </w:rPr>
        <w:t>Doctoral dissertation, Alabama Agricultural and Mechanical University</w:t>
      </w:r>
      <w:r>
        <w:rPr>
          <w:rFonts w:ascii="Times New Roman" w:eastAsia="Times New Roman" w:hAnsi="Times New Roman" w:cs="Times New Roman"/>
          <w:sz w:val="24"/>
          <w:szCs w:val="24"/>
          <w:highlight w:val="white"/>
        </w:rPr>
        <w:t>).</w:t>
      </w:r>
      <w:r w:rsidR="005A44DF">
        <w:rPr>
          <w:rFonts w:ascii="Times New Roman" w:eastAsia="Times New Roman" w:hAnsi="Times New Roman" w:cs="Times New Roman"/>
          <w:sz w:val="24"/>
          <w:szCs w:val="24"/>
          <w:highlight w:val="white"/>
        </w:rPr>
        <w:t xml:space="preserve"> Pp 1-165</w:t>
      </w:r>
    </w:p>
    <w:p w14:paraId="724B3511" w14:textId="6F4D15F4"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Dorant, </w:t>
      </w:r>
      <w:r w:rsidR="002D3827">
        <w:rPr>
          <w:rFonts w:ascii="Times New Roman" w:eastAsia="Times New Roman" w:hAnsi="Times New Roman" w:cs="Times New Roman"/>
          <w:sz w:val="24"/>
          <w:szCs w:val="24"/>
          <w:highlight w:val="white"/>
        </w:rPr>
        <w:t xml:space="preserve">Y., Quillien, V., Le Luyer, J.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Ky, C. L. (2024). Comparative transcriptomics identifies genes underlying growth performance of the Pacific black-lipped pearl oyster Pinctada margaritifera. </w:t>
      </w:r>
      <w:r w:rsidRPr="0070776B">
        <w:rPr>
          <w:rFonts w:ascii="Times New Roman" w:eastAsia="Times New Roman" w:hAnsi="Times New Roman" w:cs="Times New Roman"/>
          <w:i/>
          <w:sz w:val="24"/>
          <w:szCs w:val="24"/>
          <w:highlight w:val="white"/>
        </w:rPr>
        <w:t>BMC genomics</w:t>
      </w:r>
      <w:r>
        <w:rPr>
          <w:rFonts w:ascii="Times New Roman" w:eastAsia="Times New Roman" w:hAnsi="Times New Roman" w:cs="Times New Roman"/>
          <w:sz w:val="24"/>
          <w:szCs w:val="24"/>
          <w:highlight w:val="white"/>
        </w:rPr>
        <w:t>, 25(1), 717.</w:t>
      </w:r>
    </w:p>
    <w:p w14:paraId="4A3FB6F9" w14:textId="49BB3516" w:rsidR="00802A6C" w:rsidRDefault="002D3827"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Duan, X., Zhang, L.</w:t>
      </w:r>
      <w:r w:rsidR="00802A6C">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sidR="00802A6C">
        <w:rPr>
          <w:rFonts w:ascii="Times New Roman" w:eastAsia="Times New Roman" w:hAnsi="Times New Roman" w:cs="Times New Roman"/>
          <w:sz w:val="24"/>
          <w:szCs w:val="24"/>
          <w:highlight w:val="white"/>
        </w:rPr>
        <w:t xml:space="preserve"> Liu, F. (2025). The potential value of quercetin for colorectal cancer: a systematic review and a meta-analysis of preclinical studies. </w:t>
      </w:r>
      <w:r w:rsidR="00802A6C" w:rsidRPr="0070776B">
        <w:rPr>
          <w:rFonts w:ascii="Times New Roman" w:eastAsia="Times New Roman" w:hAnsi="Times New Roman" w:cs="Times New Roman"/>
          <w:i/>
          <w:sz w:val="24"/>
          <w:szCs w:val="24"/>
          <w:highlight w:val="white"/>
        </w:rPr>
        <w:t>Frontiers in Pharmacology</w:t>
      </w:r>
      <w:r w:rsidR="00802A6C">
        <w:rPr>
          <w:rFonts w:ascii="Times New Roman" w:eastAsia="Times New Roman" w:hAnsi="Times New Roman" w:cs="Times New Roman"/>
          <w:sz w:val="24"/>
          <w:szCs w:val="24"/>
          <w:highlight w:val="white"/>
        </w:rPr>
        <w:t>, 16, 1642957.</w:t>
      </w:r>
    </w:p>
    <w:p w14:paraId="12197680" w14:textId="7838E6FB" w:rsidR="000D0E25" w:rsidRDefault="00802A6C" w:rsidP="000D0E25">
      <w:pPr>
        <w:spacing w:before="240" w:after="240" w:line="36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Fakhri, K. U., Sharma, D., Fatma, H., </w:t>
      </w:r>
      <w:r w:rsidR="002D3827">
        <w:rPr>
          <w:rFonts w:ascii="Times New Roman" w:eastAsia="Times New Roman" w:hAnsi="Times New Roman" w:cs="Times New Roman"/>
          <w:sz w:val="24"/>
          <w:szCs w:val="24"/>
          <w:highlight w:val="white"/>
        </w:rPr>
        <w:t>Yasin, D., Alam, M., Sami, N.</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Rizvi, M. A. (2025). The dual role of dietary phytochemicals in oxidative stress: implications for oncogenesis, cancer chemoprevention, and ncRNA regulation. </w:t>
      </w:r>
      <w:r w:rsidRPr="0070776B">
        <w:rPr>
          <w:rFonts w:ascii="Times New Roman" w:eastAsia="Times New Roman" w:hAnsi="Times New Roman" w:cs="Times New Roman"/>
          <w:i/>
          <w:sz w:val="24"/>
          <w:szCs w:val="24"/>
          <w:highlight w:val="white"/>
        </w:rPr>
        <w:t>Antioxidants</w:t>
      </w:r>
      <w:r>
        <w:rPr>
          <w:rFonts w:ascii="Times New Roman" w:eastAsia="Times New Roman" w:hAnsi="Times New Roman" w:cs="Times New Roman"/>
          <w:sz w:val="24"/>
          <w:szCs w:val="24"/>
          <w:highlight w:val="white"/>
        </w:rPr>
        <w:t>, 14(6), 620.</w:t>
      </w:r>
    </w:p>
    <w:p w14:paraId="3B540545" w14:textId="32F53F7F" w:rsidR="000D0E25" w:rsidRPr="000D0E25" w:rsidRDefault="000D0E25" w:rsidP="000D0E25">
      <w:pPr>
        <w:spacing w:before="240" w:after="240" w:line="360" w:lineRule="auto"/>
        <w:ind w:left="567" w:hanging="567"/>
        <w:jc w:val="both"/>
        <w:rPr>
          <w:rFonts w:ascii="Times New Roman" w:eastAsia="Times New Roman" w:hAnsi="Times New Roman" w:cs="Times New Roman"/>
          <w:sz w:val="24"/>
          <w:szCs w:val="24"/>
          <w:highlight w:val="white"/>
        </w:rPr>
      </w:pPr>
      <w:r w:rsidRPr="000D0E25">
        <w:rPr>
          <w:rFonts w:ascii="Times New Roman" w:hAnsi="Times New Roman" w:cs="Times New Roman"/>
          <w:color w:val="000000" w:themeColor="text1"/>
          <w:sz w:val="24"/>
          <w:szCs w:val="24"/>
        </w:rPr>
        <w:t>Fusi</w:t>
      </w:r>
      <w:r w:rsidR="002D3827">
        <w:rPr>
          <w:rFonts w:ascii="Times New Roman" w:hAnsi="Times New Roman" w:cs="Times New Roman"/>
          <w:color w:val="000000" w:themeColor="text1"/>
          <w:sz w:val="24"/>
          <w:szCs w:val="24"/>
        </w:rPr>
        <w:t>,</w:t>
      </w:r>
      <w:r w:rsidRPr="000D0E25">
        <w:rPr>
          <w:rFonts w:ascii="Times New Roman" w:hAnsi="Times New Roman" w:cs="Times New Roman"/>
          <w:color w:val="000000" w:themeColor="text1"/>
          <w:sz w:val="24"/>
          <w:szCs w:val="24"/>
        </w:rPr>
        <w:t xml:space="preserve"> F., Trezza</w:t>
      </w:r>
      <w:r w:rsidR="002D3827">
        <w:rPr>
          <w:rFonts w:ascii="Times New Roman" w:hAnsi="Times New Roman" w:cs="Times New Roman"/>
          <w:color w:val="000000" w:themeColor="text1"/>
          <w:sz w:val="24"/>
          <w:szCs w:val="24"/>
        </w:rPr>
        <w:t>,</w:t>
      </w:r>
      <w:r w:rsidRPr="000D0E25">
        <w:rPr>
          <w:rFonts w:ascii="Times New Roman" w:hAnsi="Times New Roman" w:cs="Times New Roman"/>
          <w:color w:val="000000" w:themeColor="text1"/>
          <w:sz w:val="24"/>
          <w:szCs w:val="24"/>
        </w:rPr>
        <w:t xml:space="preserve"> A., Tramagli</w:t>
      </w:r>
      <w:r w:rsidR="002D3827">
        <w:rPr>
          <w:rFonts w:ascii="Times New Roman" w:hAnsi="Times New Roman" w:cs="Times New Roman"/>
          <w:color w:val="000000" w:themeColor="text1"/>
          <w:sz w:val="24"/>
          <w:szCs w:val="24"/>
        </w:rPr>
        <w:t>no, M., Sgaragli, G., Saponara, S. and</w:t>
      </w:r>
      <w:r w:rsidRPr="000D0E25">
        <w:rPr>
          <w:rFonts w:ascii="Times New Roman" w:hAnsi="Times New Roman" w:cs="Times New Roman"/>
          <w:color w:val="000000" w:themeColor="text1"/>
          <w:sz w:val="24"/>
          <w:szCs w:val="24"/>
        </w:rPr>
        <w:t xml:space="preserve"> Spiga</w:t>
      </w:r>
      <w:r w:rsidR="002D3827">
        <w:rPr>
          <w:rFonts w:ascii="Times New Roman" w:hAnsi="Times New Roman" w:cs="Times New Roman"/>
          <w:color w:val="000000" w:themeColor="text1"/>
          <w:sz w:val="24"/>
          <w:szCs w:val="24"/>
        </w:rPr>
        <w:t>,</w:t>
      </w:r>
      <w:r w:rsidRPr="000D0E25">
        <w:rPr>
          <w:rFonts w:ascii="Times New Roman" w:hAnsi="Times New Roman" w:cs="Times New Roman"/>
          <w:color w:val="000000" w:themeColor="text1"/>
          <w:sz w:val="24"/>
          <w:szCs w:val="24"/>
        </w:rPr>
        <w:t xml:space="preserve"> O. (2020). The beneficial health effects of flavonoids on the cardiovascular system: focus on K(+) channels. </w:t>
      </w:r>
      <w:r w:rsidRPr="0070776B">
        <w:rPr>
          <w:rFonts w:ascii="Times New Roman" w:hAnsi="Times New Roman" w:cs="Times New Roman"/>
          <w:i/>
          <w:color w:val="000000" w:themeColor="text1"/>
          <w:sz w:val="24"/>
          <w:szCs w:val="24"/>
        </w:rPr>
        <w:t>Pharmacol. Res</w:t>
      </w:r>
      <w:r w:rsidRPr="000D0E25">
        <w:rPr>
          <w:rFonts w:ascii="Times New Roman" w:hAnsi="Times New Roman" w:cs="Times New Roman"/>
          <w:color w:val="000000" w:themeColor="text1"/>
          <w:sz w:val="24"/>
          <w:szCs w:val="24"/>
        </w:rPr>
        <w:t>. 152, 104625. 10.1016/j.phrs.2019.104625</w:t>
      </w:r>
    </w:p>
    <w:p w14:paraId="10AEBDBB" w14:textId="41B1F9D9"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Ganai, S., Sheikh, F.</w:t>
      </w:r>
      <w:r w:rsidR="002D3827">
        <w:rPr>
          <w:rFonts w:ascii="Times New Roman" w:eastAsia="Times New Roman" w:hAnsi="Times New Roman" w:cs="Times New Roman"/>
          <w:sz w:val="24"/>
          <w:szCs w:val="24"/>
          <w:highlight w:val="white"/>
        </w:rPr>
        <w:t>, Baba, Z., Mir, M., Mantoo, M.</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Yatoo, M. (2021). Anticancer activity of the plant flavonoid luteolin against preclinical models of various cancers and insights on different signalling mechanisms modulated. </w:t>
      </w:r>
      <w:r w:rsidRPr="002D3827">
        <w:rPr>
          <w:rFonts w:ascii="Times New Roman" w:eastAsia="Times New Roman" w:hAnsi="Times New Roman" w:cs="Times New Roman"/>
          <w:i/>
          <w:sz w:val="24"/>
          <w:szCs w:val="24"/>
          <w:highlight w:val="white"/>
        </w:rPr>
        <w:t>Phytotherapy Research</w:t>
      </w:r>
      <w:r>
        <w:rPr>
          <w:rFonts w:ascii="Times New Roman" w:eastAsia="Times New Roman" w:hAnsi="Times New Roman" w:cs="Times New Roman"/>
          <w:sz w:val="24"/>
          <w:szCs w:val="24"/>
          <w:highlight w:val="white"/>
        </w:rPr>
        <w:t>, 35, 3509 - 3532. https://doi.org/10.1002/ptr.7044.</w:t>
      </w:r>
    </w:p>
    <w:p w14:paraId="27E358A7" w14:textId="794C4674" w:rsidR="005A44DF" w:rsidRPr="005A44DF" w:rsidRDefault="005A44DF" w:rsidP="00802A6C">
      <w:pPr>
        <w:spacing w:before="240" w:after="240" w:line="360" w:lineRule="auto"/>
        <w:ind w:left="567" w:hanging="567"/>
        <w:jc w:val="both"/>
        <w:rPr>
          <w:rFonts w:ascii="Times New Roman" w:hAnsi="Times New Roman" w:cs="Times New Roman"/>
          <w:color w:val="222222"/>
          <w:sz w:val="24"/>
          <w:szCs w:val="24"/>
          <w:shd w:val="clear" w:color="auto" w:fill="FFFFFF"/>
        </w:rPr>
      </w:pPr>
      <w:r w:rsidRPr="005A44DF">
        <w:rPr>
          <w:rFonts w:ascii="Times New Roman" w:hAnsi="Times New Roman" w:cs="Times New Roman"/>
          <w:color w:val="222222"/>
          <w:sz w:val="24"/>
          <w:szCs w:val="24"/>
          <w:shd w:val="clear" w:color="auto" w:fill="FFFFFF"/>
        </w:rPr>
        <w:t xml:space="preserve">Hecht, J. R., Mitchell, E., Chidiac, T., Scroggin, </w:t>
      </w:r>
      <w:r w:rsidR="002D3827">
        <w:rPr>
          <w:rFonts w:ascii="Times New Roman" w:hAnsi="Times New Roman" w:cs="Times New Roman"/>
          <w:color w:val="222222"/>
          <w:sz w:val="24"/>
          <w:szCs w:val="24"/>
          <w:shd w:val="clear" w:color="auto" w:fill="FFFFFF"/>
        </w:rPr>
        <w:t>C., Hagenstad, C., Spigel, D.</w:t>
      </w:r>
      <w:r w:rsidRPr="005A44DF">
        <w:rPr>
          <w:rFonts w:ascii="Times New Roman" w:hAnsi="Times New Roman" w:cs="Times New Roman"/>
          <w:color w:val="222222"/>
          <w:sz w:val="24"/>
          <w:szCs w:val="24"/>
          <w:shd w:val="clear" w:color="auto" w:fill="FFFFFF"/>
        </w:rPr>
        <w:t xml:space="preserve">.. </w:t>
      </w:r>
      <w:r w:rsidR="00E73F0F">
        <w:rPr>
          <w:rFonts w:ascii="Times New Roman" w:hAnsi="Times New Roman" w:cs="Times New Roman"/>
          <w:color w:val="222222"/>
          <w:sz w:val="24"/>
          <w:szCs w:val="24"/>
          <w:shd w:val="clear" w:color="auto" w:fill="FFFFFF"/>
        </w:rPr>
        <w:t>and</w:t>
      </w:r>
      <w:r w:rsidRPr="005A44DF">
        <w:rPr>
          <w:rFonts w:ascii="Times New Roman" w:hAnsi="Times New Roman" w:cs="Times New Roman"/>
          <w:color w:val="222222"/>
          <w:sz w:val="24"/>
          <w:szCs w:val="24"/>
          <w:shd w:val="clear" w:color="auto" w:fill="FFFFFF"/>
        </w:rPr>
        <w:t xml:space="preserve"> Amado, R. G. (2009). A randomized phase IIIB trial of chemotherapy, bevacizumab, and panitumumab compared with chemotherapy and bevacizumab alone for metastatic colorectal cancer. </w:t>
      </w:r>
      <w:r w:rsidRPr="005A44DF">
        <w:rPr>
          <w:rFonts w:ascii="Times New Roman" w:hAnsi="Times New Roman" w:cs="Times New Roman"/>
          <w:i/>
          <w:iCs/>
          <w:color w:val="222222"/>
          <w:sz w:val="24"/>
          <w:szCs w:val="24"/>
          <w:shd w:val="clear" w:color="auto" w:fill="FFFFFF"/>
        </w:rPr>
        <w:t>Journal of Clinical Oncology</w:t>
      </w:r>
      <w:r w:rsidRPr="005A44DF">
        <w:rPr>
          <w:rFonts w:ascii="Times New Roman" w:hAnsi="Times New Roman" w:cs="Times New Roman"/>
          <w:color w:val="222222"/>
          <w:sz w:val="24"/>
          <w:szCs w:val="24"/>
          <w:shd w:val="clear" w:color="auto" w:fill="FFFFFF"/>
        </w:rPr>
        <w:t>, </w:t>
      </w:r>
      <w:r w:rsidRPr="005A44DF">
        <w:rPr>
          <w:rFonts w:ascii="Times New Roman" w:hAnsi="Times New Roman" w:cs="Times New Roman"/>
          <w:i/>
          <w:iCs/>
          <w:color w:val="222222"/>
          <w:sz w:val="24"/>
          <w:szCs w:val="24"/>
          <w:shd w:val="clear" w:color="auto" w:fill="FFFFFF"/>
        </w:rPr>
        <w:t>27</w:t>
      </w:r>
      <w:r w:rsidRPr="005A44DF">
        <w:rPr>
          <w:rFonts w:ascii="Times New Roman" w:hAnsi="Times New Roman" w:cs="Times New Roman"/>
          <w:color w:val="222222"/>
          <w:sz w:val="24"/>
          <w:szCs w:val="24"/>
          <w:shd w:val="clear" w:color="auto" w:fill="FFFFFF"/>
        </w:rPr>
        <w:t>(5), 672-680.</w:t>
      </w:r>
    </w:p>
    <w:p w14:paraId="20D17690" w14:textId="3B3594B0"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Hossain, M. S., Karuniawati, H., Jairoun, A. A., </w:t>
      </w:r>
      <w:r w:rsidR="002D3827">
        <w:rPr>
          <w:rFonts w:ascii="Times New Roman" w:eastAsia="Times New Roman" w:hAnsi="Times New Roman" w:cs="Times New Roman"/>
          <w:sz w:val="24"/>
          <w:szCs w:val="24"/>
          <w:highlight w:val="white"/>
        </w:rPr>
        <w:t>Urbi, Z., Ooi, D. J., John, A</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Hadi, M. A. (2022). Colorectal cancer: a review of carcinogenesis, global epidemiology, current challenges, risk factors, preventive and treatment strategies. </w:t>
      </w:r>
      <w:r w:rsidRPr="002D3827">
        <w:rPr>
          <w:rFonts w:ascii="Times New Roman" w:eastAsia="Times New Roman" w:hAnsi="Times New Roman" w:cs="Times New Roman"/>
          <w:i/>
          <w:sz w:val="24"/>
          <w:szCs w:val="24"/>
          <w:highlight w:val="white"/>
        </w:rPr>
        <w:t>Cancers</w:t>
      </w:r>
      <w:r>
        <w:rPr>
          <w:rFonts w:ascii="Times New Roman" w:eastAsia="Times New Roman" w:hAnsi="Times New Roman" w:cs="Times New Roman"/>
          <w:sz w:val="24"/>
          <w:szCs w:val="24"/>
          <w:highlight w:val="white"/>
        </w:rPr>
        <w:t>, 14(7), 1732.</w:t>
      </w:r>
    </w:p>
    <w:p w14:paraId="1EBE2EC8" w14:textId="42CB063D"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Huang, J., Jiang, T., Kang, J., X</w:t>
      </w:r>
      <w:r w:rsidR="002D3827">
        <w:rPr>
          <w:rFonts w:ascii="Times New Roman" w:eastAsia="Times New Roman" w:hAnsi="Times New Roman" w:cs="Times New Roman"/>
          <w:sz w:val="24"/>
          <w:szCs w:val="24"/>
          <w:highlight w:val="white"/>
        </w:rPr>
        <w:t>u, J., Dengzhang, Y., Zhao, Z</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Lou, Z. (2022). Synergistic effect of Huangqin decoction combined treatment with Radix Actinidiae chinensis on DSS and AOM-induced colorectal cancer. </w:t>
      </w:r>
      <w:r w:rsidRPr="002D3827">
        <w:rPr>
          <w:rFonts w:ascii="Times New Roman" w:eastAsia="Times New Roman" w:hAnsi="Times New Roman" w:cs="Times New Roman"/>
          <w:i/>
          <w:sz w:val="24"/>
          <w:szCs w:val="24"/>
          <w:highlight w:val="white"/>
        </w:rPr>
        <w:t>Frontiers in Pharmacology</w:t>
      </w:r>
      <w:r>
        <w:rPr>
          <w:rFonts w:ascii="Times New Roman" w:eastAsia="Times New Roman" w:hAnsi="Times New Roman" w:cs="Times New Roman"/>
          <w:sz w:val="24"/>
          <w:szCs w:val="24"/>
          <w:highlight w:val="white"/>
        </w:rPr>
        <w:t>, 13, 933070.</w:t>
      </w:r>
    </w:p>
    <w:p w14:paraId="0115788A" w14:textId="06E3F309"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Huang, X., Ke, K., Jin,</w:t>
      </w:r>
      <w:r w:rsidR="002D3827">
        <w:rPr>
          <w:rFonts w:ascii="Times New Roman" w:eastAsia="Times New Roman" w:hAnsi="Times New Roman" w:cs="Times New Roman"/>
          <w:sz w:val="24"/>
          <w:szCs w:val="24"/>
          <w:highlight w:val="white"/>
        </w:rPr>
        <w:t xml:space="preserve"> W., Zhu, Q., Zhu, Q., Mei, R</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Sui, X. (2022). Identification of genes related to 5-fluorouracil based chemotherapy for colorectal cancer. </w:t>
      </w:r>
      <w:r w:rsidRPr="0070776B">
        <w:rPr>
          <w:rFonts w:ascii="Times New Roman" w:eastAsia="Times New Roman" w:hAnsi="Times New Roman" w:cs="Times New Roman"/>
          <w:i/>
          <w:sz w:val="24"/>
          <w:szCs w:val="24"/>
          <w:highlight w:val="white"/>
        </w:rPr>
        <w:t>Frontiers in immunology</w:t>
      </w:r>
      <w:r>
        <w:rPr>
          <w:rFonts w:ascii="Times New Roman" w:eastAsia="Times New Roman" w:hAnsi="Times New Roman" w:cs="Times New Roman"/>
          <w:sz w:val="24"/>
          <w:szCs w:val="24"/>
          <w:highlight w:val="white"/>
        </w:rPr>
        <w:t>, 13, 887048.</w:t>
      </w:r>
    </w:p>
    <w:p w14:paraId="2FBDFD5B" w14:textId="049DB85E" w:rsidR="00802A6C" w:rsidRDefault="002D3827"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Huang, Z., Hong, H., Yang, H.</w:t>
      </w:r>
      <w:r w:rsidR="00802A6C">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sidR="00802A6C">
        <w:rPr>
          <w:rFonts w:ascii="Times New Roman" w:eastAsia="Times New Roman" w:hAnsi="Times New Roman" w:cs="Times New Roman"/>
          <w:sz w:val="24"/>
          <w:szCs w:val="24"/>
          <w:highlight w:val="white"/>
        </w:rPr>
        <w:t xml:space="preserve"> He, C. (2026). Ursodeoxycholic Acid Alleviates DSS/AOM-Induced Colorectal Cancer in Mice by Inhibiting PI3K/Akt/mTOR Signaling Pathway. </w:t>
      </w:r>
      <w:r w:rsidR="00802A6C" w:rsidRPr="001D5BBD">
        <w:rPr>
          <w:rFonts w:ascii="Times New Roman" w:eastAsia="Times New Roman" w:hAnsi="Times New Roman" w:cs="Times New Roman"/>
          <w:i/>
          <w:sz w:val="24"/>
          <w:szCs w:val="24"/>
          <w:highlight w:val="white"/>
        </w:rPr>
        <w:t>Drug Design, Development and Therapy</w:t>
      </w:r>
      <w:r w:rsidR="00802A6C">
        <w:rPr>
          <w:rFonts w:ascii="Times New Roman" w:eastAsia="Times New Roman" w:hAnsi="Times New Roman" w:cs="Times New Roman"/>
          <w:sz w:val="24"/>
          <w:szCs w:val="24"/>
          <w:highlight w:val="white"/>
        </w:rPr>
        <w:t xml:space="preserve">, </w:t>
      </w:r>
      <w:r w:rsidR="001D5BBD">
        <w:rPr>
          <w:rFonts w:ascii="Times New Roman" w:eastAsia="Times New Roman" w:hAnsi="Times New Roman" w:cs="Times New Roman"/>
          <w:sz w:val="24"/>
          <w:szCs w:val="24"/>
          <w:highlight w:val="white"/>
        </w:rPr>
        <w:t>(4):</w:t>
      </w:r>
      <w:r w:rsidR="00802A6C">
        <w:rPr>
          <w:rFonts w:ascii="Times New Roman" w:eastAsia="Times New Roman" w:hAnsi="Times New Roman" w:cs="Times New Roman"/>
          <w:sz w:val="24"/>
          <w:szCs w:val="24"/>
          <w:highlight w:val="white"/>
        </w:rPr>
        <w:t>1-19.</w:t>
      </w:r>
    </w:p>
    <w:p w14:paraId="26AD60E1" w14:textId="46E782D9"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Imran, M., Rauf, A., Abu-Izneid, T., Nadeem, M., Shariati, M., Khan, I., Imran, A., Orhan, I., R</w:t>
      </w:r>
      <w:r w:rsidR="002D3827">
        <w:rPr>
          <w:rFonts w:ascii="Times New Roman" w:eastAsia="Times New Roman" w:hAnsi="Times New Roman" w:cs="Times New Roman"/>
          <w:sz w:val="24"/>
          <w:szCs w:val="24"/>
          <w:highlight w:val="white"/>
        </w:rPr>
        <w:t>izwan, M., Atif, M., Gondal, T.</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Mubarak, M. (2019). Luteolin, a flavonoid, as</w:t>
      </w:r>
      <w:r w:rsidR="001D5BBD">
        <w:rPr>
          <w:rFonts w:ascii="Times New Roman" w:eastAsia="Times New Roman" w:hAnsi="Times New Roman" w:cs="Times New Roman"/>
          <w:sz w:val="24"/>
          <w:szCs w:val="24"/>
          <w:highlight w:val="white"/>
        </w:rPr>
        <w:t xml:space="preserve"> an anticancer agent: A review.</w:t>
      </w:r>
      <w:r>
        <w:rPr>
          <w:rFonts w:ascii="Times New Roman" w:eastAsia="Times New Roman" w:hAnsi="Times New Roman" w:cs="Times New Roman"/>
          <w:sz w:val="24"/>
          <w:szCs w:val="24"/>
          <w:highlight w:val="white"/>
        </w:rPr>
        <w:t xml:space="preserve"> </w:t>
      </w:r>
      <w:r w:rsidRPr="001D5BBD">
        <w:rPr>
          <w:rFonts w:ascii="Times New Roman" w:eastAsia="Times New Roman" w:hAnsi="Times New Roman" w:cs="Times New Roman"/>
          <w:i/>
          <w:sz w:val="24"/>
          <w:szCs w:val="24"/>
          <w:highlight w:val="white"/>
        </w:rPr>
        <w:t xml:space="preserve">Biomedicine </w:t>
      </w:r>
      <w:r w:rsidR="00E73F0F">
        <w:rPr>
          <w:rFonts w:ascii="Times New Roman" w:eastAsia="Times New Roman" w:hAnsi="Times New Roman" w:cs="Times New Roman"/>
          <w:i/>
          <w:sz w:val="24"/>
          <w:szCs w:val="24"/>
          <w:highlight w:val="white"/>
        </w:rPr>
        <w:t>and</w:t>
      </w:r>
      <w:r w:rsidRPr="001D5BBD">
        <w:rPr>
          <w:rFonts w:ascii="Times New Roman" w:eastAsia="Times New Roman" w:hAnsi="Times New Roman" w:cs="Times New Roman"/>
          <w:i/>
          <w:sz w:val="24"/>
          <w:szCs w:val="24"/>
          <w:highlight w:val="white"/>
        </w:rPr>
        <w:t xml:space="preserve"> pharmacotherapy</w:t>
      </w:r>
      <w:r w:rsidR="001D5BBD">
        <w:rPr>
          <w:rFonts w:ascii="Times New Roman" w:eastAsia="Times New Roman" w:hAnsi="Times New Roman" w:cs="Times New Roman"/>
          <w:sz w:val="24"/>
          <w:szCs w:val="24"/>
          <w:highlight w:val="white"/>
        </w:rPr>
        <w:t>, 112, 108612</w:t>
      </w:r>
      <w:r>
        <w:rPr>
          <w:rFonts w:ascii="Times New Roman" w:eastAsia="Times New Roman" w:hAnsi="Times New Roman" w:cs="Times New Roman"/>
          <w:sz w:val="24"/>
          <w:szCs w:val="24"/>
          <w:highlight w:val="white"/>
        </w:rPr>
        <w:t>. https://doi.org/10.1016/j.biopha.2019.108612.</w:t>
      </w:r>
    </w:p>
    <w:p w14:paraId="646A6E64" w14:textId="5D8DB0C7"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Ji, J., Phang, H. C., Gu, X., Widodo, R. T., Goh, B. H., Kee, P. E., ...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Liew, K. B. (2024). A Review on Colorectal Cancer and the Role of Traditional Chinese Herbal Medicine as Complementary Therapy. </w:t>
      </w:r>
      <w:r w:rsidRPr="001D5BBD">
        <w:rPr>
          <w:rFonts w:ascii="Times New Roman" w:eastAsia="Times New Roman" w:hAnsi="Times New Roman" w:cs="Times New Roman"/>
          <w:i/>
          <w:sz w:val="24"/>
          <w:szCs w:val="24"/>
          <w:highlight w:val="white"/>
        </w:rPr>
        <w:t xml:space="preserve">Progress In Microbes </w:t>
      </w:r>
      <w:r w:rsidR="00E73F0F">
        <w:rPr>
          <w:rFonts w:ascii="Times New Roman" w:eastAsia="Times New Roman" w:hAnsi="Times New Roman" w:cs="Times New Roman"/>
          <w:i/>
          <w:sz w:val="24"/>
          <w:szCs w:val="24"/>
          <w:highlight w:val="white"/>
        </w:rPr>
        <w:t>and</w:t>
      </w:r>
      <w:r w:rsidRPr="001D5BBD">
        <w:rPr>
          <w:rFonts w:ascii="Times New Roman" w:eastAsia="Times New Roman" w:hAnsi="Times New Roman" w:cs="Times New Roman"/>
          <w:i/>
          <w:sz w:val="24"/>
          <w:szCs w:val="24"/>
          <w:highlight w:val="white"/>
        </w:rPr>
        <w:t xml:space="preserve"> Molecular Biology</w:t>
      </w:r>
      <w:r>
        <w:rPr>
          <w:rFonts w:ascii="Times New Roman" w:eastAsia="Times New Roman" w:hAnsi="Times New Roman" w:cs="Times New Roman"/>
          <w:sz w:val="24"/>
          <w:szCs w:val="24"/>
          <w:highlight w:val="white"/>
        </w:rPr>
        <w:t>, 7(1)</w:t>
      </w:r>
      <w:r w:rsidR="001D5BBD">
        <w:rPr>
          <w:rFonts w:ascii="Times New Roman" w:eastAsia="Times New Roman" w:hAnsi="Times New Roman" w:cs="Times New Roman"/>
          <w:sz w:val="24"/>
          <w:szCs w:val="24"/>
          <w:highlight w:val="white"/>
        </w:rPr>
        <w:t xml:space="preserve"> 1115 - 1123</w:t>
      </w:r>
      <w:r>
        <w:rPr>
          <w:rFonts w:ascii="Times New Roman" w:eastAsia="Times New Roman" w:hAnsi="Times New Roman" w:cs="Times New Roman"/>
          <w:sz w:val="24"/>
          <w:szCs w:val="24"/>
          <w:highlight w:val="white"/>
        </w:rPr>
        <w:t>.</w:t>
      </w:r>
    </w:p>
    <w:p w14:paraId="6219E1EF" w14:textId="4B99CD0D"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Kapare</w:t>
      </w:r>
      <w:r w:rsidR="002D3827">
        <w:rPr>
          <w:rFonts w:ascii="Times New Roman" w:eastAsia="Times New Roman" w:hAnsi="Times New Roman" w:cs="Times New Roman"/>
          <w:sz w:val="24"/>
          <w:szCs w:val="24"/>
          <w:highlight w:val="white"/>
        </w:rPr>
        <w:t>, H., Nagaraj, S., Wakalkar, S.</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Rathi, K. (2022). Caffeic acid phenethyl ester: a potential anticancer bioactive constituent of propolis. </w:t>
      </w:r>
      <w:r w:rsidRPr="001D5BBD">
        <w:rPr>
          <w:rFonts w:ascii="Times New Roman" w:eastAsia="Times New Roman" w:hAnsi="Times New Roman" w:cs="Times New Roman"/>
          <w:i/>
          <w:sz w:val="24"/>
          <w:szCs w:val="24"/>
          <w:highlight w:val="white"/>
        </w:rPr>
        <w:t>Current Cancer Therapy Reviews</w:t>
      </w:r>
      <w:r>
        <w:rPr>
          <w:rFonts w:ascii="Times New Roman" w:eastAsia="Times New Roman" w:hAnsi="Times New Roman" w:cs="Times New Roman"/>
          <w:sz w:val="24"/>
          <w:szCs w:val="24"/>
          <w:highlight w:val="white"/>
        </w:rPr>
        <w:t>, 18(3), 181-192.</w:t>
      </w:r>
    </w:p>
    <w:p w14:paraId="15FD69B0" w14:textId="7F411BD3"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Kasi, A., Handa, S., B</w:t>
      </w:r>
      <w:r w:rsidR="002D3827">
        <w:rPr>
          <w:rFonts w:ascii="Times New Roman" w:eastAsia="Times New Roman" w:hAnsi="Times New Roman" w:cs="Times New Roman"/>
          <w:sz w:val="24"/>
          <w:szCs w:val="24"/>
          <w:highlight w:val="white"/>
        </w:rPr>
        <w:t>hatti, S., Umar, S., Bansal, A.</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Sun, W. (2020). Molecular pathogenesis and classification of colorectal carcinoma. Current colorectal cancer reports, 16(5), 97-106.</w:t>
      </w:r>
    </w:p>
    <w:p w14:paraId="35CC52F0" w14:textId="369CE212"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Kawade, V. S.</w:t>
      </w:r>
      <w:r w:rsidR="002D3827">
        <w:rPr>
          <w:rFonts w:ascii="Times New Roman" w:eastAsia="Times New Roman" w:hAnsi="Times New Roman" w:cs="Times New Roman"/>
          <w:sz w:val="24"/>
          <w:szCs w:val="24"/>
          <w:highlight w:val="white"/>
        </w:rPr>
        <w:t>, Satpute, P. S., Dhulap, S. A.</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Gurjar, S. (2018). Therapeutic Potential of PI3K/Akt/mTOR Signalling Pathway: Effective Combination Therapy for Cancer. </w:t>
      </w:r>
      <w:r w:rsidRPr="001D5BBD">
        <w:rPr>
          <w:rFonts w:ascii="Times New Roman" w:eastAsia="Times New Roman" w:hAnsi="Times New Roman" w:cs="Times New Roman"/>
          <w:i/>
          <w:sz w:val="24"/>
          <w:szCs w:val="24"/>
          <w:highlight w:val="white"/>
        </w:rPr>
        <w:t>Indian Journal of Pharmaceutical Sciences</w:t>
      </w:r>
      <w:r>
        <w:rPr>
          <w:rFonts w:ascii="Times New Roman" w:eastAsia="Times New Roman" w:hAnsi="Times New Roman" w:cs="Times New Roman"/>
          <w:sz w:val="24"/>
          <w:szCs w:val="24"/>
          <w:highlight w:val="white"/>
        </w:rPr>
        <w:t>, 80(4)</w:t>
      </w:r>
      <w:r w:rsidR="001D5BBD">
        <w:rPr>
          <w:rFonts w:ascii="Times New Roman" w:eastAsia="Times New Roman" w:hAnsi="Times New Roman" w:cs="Times New Roman"/>
          <w:sz w:val="24"/>
          <w:szCs w:val="24"/>
          <w:highlight w:val="white"/>
        </w:rPr>
        <w:t xml:space="preserve"> 809 - 817</w:t>
      </w:r>
      <w:r>
        <w:rPr>
          <w:rFonts w:ascii="Times New Roman" w:eastAsia="Times New Roman" w:hAnsi="Times New Roman" w:cs="Times New Roman"/>
          <w:sz w:val="24"/>
          <w:szCs w:val="24"/>
          <w:highlight w:val="white"/>
        </w:rPr>
        <w:t>.</w:t>
      </w:r>
    </w:p>
    <w:p w14:paraId="7A969E65" w14:textId="0DEA476F"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w:t>
      </w:r>
      <w:r w:rsidR="002D3827">
        <w:rPr>
          <w:rFonts w:ascii="Times New Roman" w:eastAsia="Times New Roman" w:hAnsi="Times New Roman" w:cs="Times New Roman"/>
          <w:sz w:val="24"/>
          <w:szCs w:val="24"/>
          <w:highlight w:val="white"/>
        </w:rPr>
        <w:t>ohno, H., Suzuki, R., Sugie, S.</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Tanaka, T. (2005). β‐Catenin mutations in a mouse model of inflammation‐related colon carcinogenesis induced by 1, 2‐dimethylhydrazine and dextran sodium sulfate. </w:t>
      </w:r>
      <w:r w:rsidRPr="001D5BBD">
        <w:rPr>
          <w:rFonts w:ascii="Times New Roman" w:eastAsia="Times New Roman" w:hAnsi="Times New Roman" w:cs="Times New Roman"/>
          <w:i/>
          <w:sz w:val="24"/>
          <w:szCs w:val="24"/>
          <w:highlight w:val="white"/>
        </w:rPr>
        <w:t>Cancer science</w:t>
      </w:r>
      <w:r>
        <w:rPr>
          <w:rFonts w:ascii="Times New Roman" w:eastAsia="Times New Roman" w:hAnsi="Times New Roman" w:cs="Times New Roman"/>
          <w:sz w:val="24"/>
          <w:szCs w:val="24"/>
          <w:highlight w:val="white"/>
        </w:rPr>
        <w:t>, 96(2), 69-76.</w:t>
      </w:r>
    </w:p>
    <w:p w14:paraId="7F478764" w14:textId="2DC253A5" w:rsidR="00802A6C" w:rsidRDefault="002D3827"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Lee, E. J., Oh, S. Y.</w:t>
      </w:r>
      <w:r w:rsidR="00802A6C">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sidR="00802A6C">
        <w:rPr>
          <w:rFonts w:ascii="Times New Roman" w:eastAsia="Times New Roman" w:hAnsi="Times New Roman" w:cs="Times New Roman"/>
          <w:sz w:val="24"/>
          <w:szCs w:val="24"/>
          <w:highlight w:val="white"/>
        </w:rPr>
        <w:t xml:space="preserve"> Sung, M. K. (2012). Luteolin exerts anti-tumor activity through the suppression of epidermal growth factor receptor-mediated pathway in MDA-MB-231 ER-negative breast cancer cells. </w:t>
      </w:r>
      <w:r w:rsidR="00802A6C" w:rsidRPr="001D5BBD">
        <w:rPr>
          <w:rFonts w:ascii="Times New Roman" w:eastAsia="Times New Roman" w:hAnsi="Times New Roman" w:cs="Times New Roman"/>
          <w:i/>
          <w:sz w:val="24"/>
          <w:szCs w:val="24"/>
          <w:highlight w:val="white"/>
        </w:rPr>
        <w:t>Food and chemical toxicology</w:t>
      </w:r>
      <w:r w:rsidR="00802A6C">
        <w:rPr>
          <w:rFonts w:ascii="Times New Roman" w:eastAsia="Times New Roman" w:hAnsi="Times New Roman" w:cs="Times New Roman"/>
          <w:sz w:val="24"/>
          <w:szCs w:val="24"/>
          <w:highlight w:val="white"/>
        </w:rPr>
        <w:t>, 50(11), 4136-4143.</w:t>
      </w:r>
    </w:p>
    <w:p w14:paraId="76220D86" w14:textId="59728AE2" w:rsidR="00802A6C" w:rsidRDefault="002D3827"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Li, L.</w:t>
      </w:r>
      <w:r w:rsidR="00802A6C">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sidR="00802A6C">
        <w:rPr>
          <w:rFonts w:ascii="Times New Roman" w:eastAsia="Times New Roman" w:hAnsi="Times New Roman" w:cs="Times New Roman"/>
          <w:sz w:val="24"/>
          <w:szCs w:val="24"/>
          <w:highlight w:val="white"/>
        </w:rPr>
        <w:t xml:space="preserve"> Kar, S. (2025). Leveraging network pharmacology for drug discovery: Integrative approaches and emerging insights. </w:t>
      </w:r>
      <w:r w:rsidR="00802A6C" w:rsidRPr="001D5BBD">
        <w:rPr>
          <w:rFonts w:ascii="Times New Roman" w:eastAsia="Times New Roman" w:hAnsi="Times New Roman" w:cs="Times New Roman"/>
          <w:i/>
          <w:sz w:val="24"/>
          <w:szCs w:val="24"/>
          <w:highlight w:val="white"/>
        </w:rPr>
        <w:t>Medicine in Drug Discovery</w:t>
      </w:r>
      <w:r w:rsidR="00802A6C">
        <w:rPr>
          <w:rFonts w:ascii="Times New Roman" w:eastAsia="Times New Roman" w:hAnsi="Times New Roman" w:cs="Times New Roman"/>
          <w:sz w:val="24"/>
          <w:szCs w:val="24"/>
          <w:highlight w:val="white"/>
        </w:rPr>
        <w:t>, 100220.</w:t>
      </w:r>
    </w:p>
    <w:p w14:paraId="136DB3CF" w14:textId="2EEF5883"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Liao, Y. F., Luo, F. L., Tang, S. S., Hu</w:t>
      </w:r>
      <w:r w:rsidR="002D3827">
        <w:rPr>
          <w:rFonts w:ascii="Times New Roman" w:eastAsia="Times New Roman" w:hAnsi="Times New Roman" w:cs="Times New Roman"/>
          <w:sz w:val="24"/>
          <w:szCs w:val="24"/>
          <w:highlight w:val="white"/>
        </w:rPr>
        <w:t>ang, J. W., Yang, Y., Wang, S</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Wu, Y. Y. (2022). Network analysis and experimental pharmacology study explore the protective effects of Isoliquiritigenin on 5-fluorouracil-Induced intestinal mucositis. </w:t>
      </w:r>
      <w:r w:rsidRPr="001D5BBD">
        <w:rPr>
          <w:rFonts w:ascii="Times New Roman" w:eastAsia="Times New Roman" w:hAnsi="Times New Roman" w:cs="Times New Roman"/>
          <w:i/>
          <w:sz w:val="24"/>
          <w:szCs w:val="24"/>
          <w:highlight w:val="white"/>
        </w:rPr>
        <w:t>Frontiers in Pharmacology</w:t>
      </w:r>
      <w:r>
        <w:rPr>
          <w:rFonts w:ascii="Times New Roman" w:eastAsia="Times New Roman" w:hAnsi="Times New Roman" w:cs="Times New Roman"/>
          <w:sz w:val="24"/>
          <w:szCs w:val="24"/>
          <w:highlight w:val="white"/>
        </w:rPr>
        <w:t>, 13, 1014160.</w:t>
      </w:r>
    </w:p>
    <w:p w14:paraId="7297D5DA" w14:textId="7C38A9D7" w:rsidR="00802A6C" w:rsidRDefault="002D3827"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Liu, Y., Li, P. K., Li, C.</w:t>
      </w:r>
      <w:r w:rsidR="00802A6C">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sidR="00802A6C">
        <w:rPr>
          <w:rFonts w:ascii="Times New Roman" w:eastAsia="Times New Roman" w:hAnsi="Times New Roman" w:cs="Times New Roman"/>
          <w:sz w:val="24"/>
          <w:szCs w:val="24"/>
          <w:highlight w:val="white"/>
        </w:rPr>
        <w:t xml:space="preserve"> Lin, J. (2010). Inhibition of STAT3 signaling blocks the anti-apoptotic activity of IL-6 in human liver cancer cells. </w:t>
      </w:r>
      <w:r w:rsidR="00802A6C" w:rsidRPr="001D5BBD">
        <w:rPr>
          <w:rFonts w:ascii="Times New Roman" w:eastAsia="Times New Roman" w:hAnsi="Times New Roman" w:cs="Times New Roman"/>
          <w:i/>
          <w:sz w:val="24"/>
          <w:szCs w:val="24"/>
          <w:highlight w:val="white"/>
        </w:rPr>
        <w:t>Journal of Biological Chemistry</w:t>
      </w:r>
      <w:r w:rsidR="00802A6C">
        <w:rPr>
          <w:rFonts w:ascii="Times New Roman" w:eastAsia="Times New Roman" w:hAnsi="Times New Roman" w:cs="Times New Roman"/>
          <w:sz w:val="24"/>
          <w:szCs w:val="24"/>
          <w:highlight w:val="white"/>
        </w:rPr>
        <w:t>, 285(35), 27429-27439.</w:t>
      </w:r>
    </w:p>
    <w:p w14:paraId="45F3FB3D" w14:textId="22D30B92"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Moen, L., Liu, B., Bukirwa, P., Chingonzoh, T., Chokunonga, E., Finesse, A., Korir, A., Lamin, B., Lorenzoni, C., Manraj, S., N’da, G., Odzèbe, A., Ogunbiyi, O., Somdyala, N., Pack</w:t>
      </w:r>
      <w:r w:rsidR="002D3827">
        <w:rPr>
          <w:rFonts w:ascii="Times New Roman" w:eastAsia="Times New Roman" w:hAnsi="Times New Roman" w:cs="Times New Roman"/>
          <w:sz w:val="24"/>
          <w:szCs w:val="24"/>
          <w:highlight w:val="white"/>
        </w:rPr>
        <w:t>zowski, M.</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Parkin, D. (2024). Trends in the incidence of colorectal cancer in sub‐Saharan Africa: A population‐based registry study. </w:t>
      </w:r>
      <w:r w:rsidRPr="001D5BBD">
        <w:rPr>
          <w:rFonts w:ascii="Times New Roman" w:eastAsia="Times New Roman" w:hAnsi="Times New Roman" w:cs="Times New Roman"/>
          <w:i/>
          <w:sz w:val="24"/>
          <w:szCs w:val="24"/>
          <w:highlight w:val="white"/>
        </w:rPr>
        <w:t>International Journal of Cancer</w:t>
      </w:r>
      <w:r>
        <w:rPr>
          <w:rFonts w:ascii="Times New Roman" w:eastAsia="Times New Roman" w:hAnsi="Times New Roman" w:cs="Times New Roman"/>
          <w:sz w:val="24"/>
          <w:szCs w:val="24"/>
          <w:highlight w:val="white"/>
        </w:rPr>
        <w:t>, 155, 675 - 682. https://doi.org/10.1002/ijc.34942.</w:t>
      </w:r>
    </w:p>
    <w:p w14:paraId="3BFA347E" w14:textId="797A2712"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Morgan, E., Arnold, M., Gini, A., Lorenzoni, V., C</w:t>
      </w:r>
      <w:r w:rsidR="002D3827">
        <w:rPr>
          <w:rFonts w:ascii="Times New Roman" w:eastAsia="Times New Roman" w:hAnsi="Times New Roman" w:cs="Times New Roman"/>
          <w:sz w:val="24"/>
          <w:szCs w:val="24"/>
          <w:highlight w:val="white"/>
        </w:rPr>
        <w:t>abasag, C. J., Laversanne, M.</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Bray, F. (2023). Global burden of colorectal cancer in 2020 and 2040: incidence and mortality estimates from GLOBOCAN. </w:t>
      </w:r>
      <w:r w:rsidRPr="001D5BBD">
        <w:rPr>
          <w:rFonts w:ascii="Times New Roman" w:eastAsia="Times New Roman" w:hAnsi="Times New Roman" w:cs="Times New Roman"/>
          <w:i/>
          <w:sz w:val="24"/>
          <w:szCs w:val="24"/>
          <w:highlight w:val="white"/>
        </w:rPr>
        <w:t>Gut</w:t>
      </w:r>
      <w:r>
        <w:rPr>
          <w:rFonts w:ascii="Times New Roman" w:eastAsia="Times New Roman" w:hAnsi="Times New Roman" w:cs="Times New Roman"/>
          <w:sz w:val="24"/>
          <w:szCs w:val="24"/>
          <w:highlight w:val="white"/>
        </w:rPr>
        <w:t>, 72(2), 338-344.</w:t>
      </w:r>
    </w:p>
    <w:p w14:paraId="08BC9DBE" w14:textId="6E0DA78F"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Munnik, C., Xaba, M. P., M</w:t>
      </w:r>
      <w:r w:rsidR="002D3827">
        <w:rPr>
          <w:rFonts w:ascii="Times New Roman" w:eastAsia="Times New Roman" w:hAnsi="Times New Roman" w:cs="Times New Roman"/>
          <w:sz w:val="24"/>
          <w:szCs w:val="24"/>
          <w:highlight w:val="white"/>
        </w:rPr>
        <w:t>alindisa, S. T., Russell, B. L.</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Sooklal, S. A. (2022). Drosophila melanogaster: A platform for anticancer drug discovery and personalized therapies. </w:t>
      </w:r>
      <w:r w:rsidRPr="00E9629A">
        <w:rPr>
          <w:rFonts w:ascii="Times New Roman" w:eastAsia="Times New Roman" w:hAnsi="Times New Roman" w:cs="Times New Roman"/>
          <w:i/>
          <w:sz w:val="24"/>
          <w:szCs w:val="24"/>
          <w:highlight w:val="white"/>
        </w:rPr>
        <w:t>Frontiers in Genetics</w:t>
      </w:r>
      <w:r>
        <w:rPr>
          <w:rFonts w:ascii="Times New Roman" w:eastAsia="Times New Roman" w:hAnsi="Times New Roman" w:cs="Times New Roman"/>
          <w:sz w:val="24"/>
          <w:szCs w:val="24"/>
          <w:highlight w:val="white"/>
        </w:rPr>
        <w:t>, 13, 949241.</w:t>
      </w:r>
    </w:p>
    <w:p w14:paraId="46FC3EF1" w14:textId="3E38A6F8"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Nadendla</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E</w:t>
      </w:r>
      <w:r w:rsidR="0026548E">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K</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Tweedell</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R</w:t>
      </w:r>
      <w:r w:rsidR="0026548E">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E</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Kasof</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G</w:t>
      </w:r>
      <w:r w:rsidR="0026548E">
        <w:rPr>
          <w:rFonts w:ascii="Times New Roman" w:eastAsia="Times New Roman" w:hAnsi="Times New Roman" w:cs="Times New Roman"/>
          <w:sz w:val="24"/>
          <w:szCs w:val="24"/>
          <w:highlight w:val="white"/>
        </w:rPr>
        <w:t>. and</w:t>
      </w:r>
      <w:r>
        <w:rPr>
          <w:rFonts w:ascii="Times New Roman" w:eastAsia="Times New Roman" w:hAnsi="Times New Roman" w:cs="Times New Roman"/>
          <w:sz w:val="24"/>
          <w:szCs w:val="24"/>
          <w:highlight w:val="white"/>
        </w:rPr>
        <w:t xml:space="preserve"> Kanneganti</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T</w:t>
      </w:r>
      <w:r w:rsidR="0026548E">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D.</w:t>
      </w:r>
      <w:r w:rsidR="002D3827" w:rsidRPr="002D3827">
        <w:rPr>
          <w:rFonts w:ascii="Times New Roman" w:eastAsia="Times New Roman" w:hAnsi="Times New Roman" w:cs="Times New Roman"/>
          <w:sz w:val="24"/>
          <w:szCs w:val="24"/>
          <w:highlight w:val="white"/>
        </w:rPr>
        <w:t xml:space="preserve"> </w:t>
      </w:r>
      <w:r w:rsidR="0026548E">
        <w:rPr>
          <w:rFonts w:ascii="Times New Roman" w:eastAsia="Times New Roman" w:hAnsi="Times New Roman" w:cs="Times New Roman"/>
          <w:sz w:val="24"/>
          <w:szCs w:val="24"/>
          <w:highlight w:val="white"/>
        </w:rPr>
        <w:t>(</w:t>
      </w:r>
      <w:r w:rsidR="002D3827">
        <w:rPr>
          <w:rFonts w:ascii="Times New Roman" w:eastAsia="Times New Roman" w:hAnsi="Times New Roman" w:cs="Times New Roman"/>
          <w:sz w:val="24"/>
          <w:szCs w:val="24"/>
          <w:highlight w:val="white"/>
        </w:rPr>
        <w:t>2025</w:t>
      </w:r>
      <w:r w:rsidR="0026548E">
        <w:rPr>
          <w:rFonts w:ascii="Times New Roman" w:eastAsia="Times New Roman" w:hAnsi="Times New Roman" w:cs="Times New Roman"/>
          <w:sz w:val="24"/>
          <w:szCs w:val="24"/>
          <w:highlight w:val="white"/>
        </w:rPr>
        <w:t>)</w:t>
      </w:r>
      <w:r w:rsidR="002D3827">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Caspases: structural and molecular mechanisms and functions in cell death, innate immunity, and disease. </w:t>
      </w:r>
      <w:r w:rsidRPr="0070776B">
        <w:rPr>
          <w:rFonts w:ascii="Times New Roman" w:eastAsia="Times New Roman" w:hAnsi="Times New Roman" w:cs="Times New Roman"/>
          <w:i/>
          <w:sz w:val="24"/>
          <w:szCs w:val="24"/>
          <w:highlight w:val="white"/>
        </w:rPr>
        <w:t>Cell Discov.</w:t>
      </w:r>
      <w:r>
        <w:rPr>
          <w:rFonts w:ascii="Times New Roman" w:eastAsia="Times New Roman" w:hAnsi="Times New Roman" w:cs="Times New Roman"/>
          <w:sz w:val="24"/>
          <w:szCs w:val="24"/>
          <w:highlight w:val="white"/>
        </w:rPr>
        <w:t xml:space="preserve"> May 5;11(1):42. doi: 10.1038/s41421-025-00791-3. PMID: 40325022; PMCID: PMC12052993.</w:t>
      </w:r>
    </w:p>
    <w:p w14:paraId="560770E0" w14:textId="34C5E872"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Neamtu</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A</w:t>
      </w:r>
      <w:r w:rsidR="0026548E">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A</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Maghiar</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T</w:t>
      </w:r>
      <w:r w:rsidR="0026548E">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A</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Alaya</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A</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Olah</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N</w:t>
      </w:r>
      <w:r w:rsidR="0026548E">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K</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Turcus</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V</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Pelea</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D</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Totolici</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B</w:t>
      </w:r>
      <w:r w:rsidR="0026548E">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D</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Neamtu</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C</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Maghiar</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A</w:t>
      </w:r>
      <w:r w:rsidR="0026548E">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M</w:t>
      </w:r>
      <w:r w:rsidR="0026548E">
        <w:rPr>
          <w:rFonts w:ascii="Times New Roman" w:eastAsia="Times New Roman" w:hAnsi="Times New Roman" w:cs="Times New Roman"/>
          <w:sz w:val="24"/>
          <w:szCs w:val="24"/>
          <w:highlight w:val="white"/>
        </w:rPr>
        <w:t>. and</w:t>
      </w:r>
      <w:r>
        <w:rPr>
          <w:rFonts w:ascii="Times New Roman" w:eastAsia="Times New Roman" w:hAnsi="Times New Roman" w:cs="Times New Roman"/>
          <w:sz w:val="24"/>
          <w:szCs w:val="24"/>
          <w:highlight w:val="white"/>
        </w:rPr>
        <w:t xml:space="preserve"> Mathe</w:t>
      </w:r>
      <w:r w:rsidR="0026548E">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E.</w:t>
      </w:r>
      <w:r w:rsidR="00E9629A">
        <w:rPr>
          <w:rFonts w:ascii="Times New Roman" w:eastAsia="Times New Roman" w:hAnsi="Times New Roman" w:cs="Times New Roman"/>
          <w:sz w:val="24"/>
          <w:szCs w:val="24"/>
          <w:highlight w:val="white"/>
        </w:rPr>
        <w:t xml:space="preserve"> </w:t>
      </w:r>
      <w:r w:rsidR="0026548E">
        <w:rPr>
          <w:rFonts w:ascii="Times New Roman" w:eastAsia="Times New Roman" w:hAnsi="Times New Roman" w:cs="Times New Roman"/>
          <w:sz w:val="24"/>
          <w:szCs w:val="24"/>
          <w:highlight w:val="white"/>
        </w:rPr>
        <w:t>(</w:t>
      </w:r>
      <w:r w:rsidR="00E9629A">
        <w:rPr>
          <w:rFonts w:ascii="Times New Roman" w:eastAsia="Times New Roman" w:hAnsi="Times New Roman" w:cs="Times New Roman"/>
          <w:sz w:val="24"/>
          <w:szCs w:val="24"/>
          <w:highlight w:val="white"/>
        </w:rPr>
        <w:t>2022</w:t>
      </w:r>
      <w:r w:rsidR="0026548E">
        <w:rPr>
          <w:rFonts w:ascii="Times New Roman" w:eastAsia="Times New Roman" w:hAnsi="Times New Roman" w:cs="Times New Roman"/>
          <w:sz w:val="24"/>
          <w:szCs w:val="24"/>
          <w:highlight w:val="white"/>
        </w:rPr>
        <w:t>)</w:t>
      </w:r>
      <w:r w:rsidR="00E9629A">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 xml:space="preserve"> A Comprehensive View on the Quercetin Impact on Colorectal Cancer. </w:t>
      </w:r>
      <w:r w:rsidRPr="00E9629A">
        <w:rPr>
          <w:rFonts w:ascii="Times New Roman" w:eastAsia="Times New Roman" w:hAnsi="Times New Roman" w:cs="Times New Roman"/>
          <w:i/>
          <w:sz w:val="24"/>
          <w:szCs w:val="24"/>
          <w:highlight w:val="white"/>
        </w:rPr>
        <w:t>Molecules</w:t>
      </w:r>
      <w:r>
        <w:rPr>
          <w:rFonts w:ascii="Times New Roman" w:eastAsia="Times New Roman" w:hAnsi="Times New Roman" w:cs="Times New Roman"/>
          <w:sz w:val="24"/>
          <w:szCs w:val="24"/>
          <w:highlight w:val="white"/>
        </w:rPr>
        <w:t xml:space="preserve">. 14;27(6):1873. doi: 10.3390/molecules27061873. </w:t>
      </w:r>
    </w:p>
    <w:p w14:paraId="76822C98" w14:textId="0752AA5D"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Nyskohus, L. S., Watson, A. J., Margison, G. P., Le Leu, R. K</w:t>
      </w:r>
      <w:r w:rsidR="0026548E">
        <w:rPr>
          <w:rFonts w:ascii="Times New Roman" w:eastAsia="Times New Roman" w:hAnsi="Times New Roman" w:cs="Times New Roman"/>
          <w:sz w:val="24"/>
          <w:szCs w:val="24"/>
          <w:highlight w:val="white"/>
        </w:rPr>
        <w:t>., Kim, S. W., Lockett, T. J.</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Hu, Y. (2013). Repair and removal of azoxymethane-induced O6-methylguanine in rat colon by O6-methylguanine DNA methyltransferase and apoptosis. </w:t>
      </w:r>
      <w:r w:rsidRPr="00E9629A">
        <w:rPr>
          <w:rFonts w:ascii="Times New Roman" w:eastAsia="Times New Roman" w:hAnsi="Times New Roman" w:cs="Times New Roman"/>
          <w:i/>
          <w:sz w:val="24"/>
          <w:szCs w:val="24"/>
          <w:highlight w:val="white"/>
        </w:rPr>
        <w:t>Mutation Research/Genetic Toxicology and Environmental Mutagenesis</w:t>
      </w:r>
      <w:r>
        <w:rPr>
          <w:rFonts w:ascii="Times New Roman" w:eastAsia="Times New Roman" w:hAnsi="Times New Roman" w:cs="Times New Roman"/>
          <w:sz w:val="24"/>
          <w:szCs w:val="24"/>
          <w:highlight w:val="white"/>
        </w:rPr>
        <w:t>, 758(1-2), 80-86.</w:t>
      </w:r>
    </w:p>
    <w:p w14:paraId="7AF5C0A5" w14:textId="033D6596"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Olanrewaju, J. A., Arietarhire, L. O., Soremekun, O. E., Olugbogi, E. A., Ar</w:t>
      </w:r>
      <w:r w:rsidR="0026548E">
        <w:rPr>
          <w:rFonts w:ascii="Times New Roman" w:eastAsia="Times New Roman" w:hAnsi="Times New Roman" w:cs="Times New Roman"/>
          <w:sz w:val="24"/>
          <w:szCs w:val="24"/>
          <w:highlight w:val="white"/>
        </w:rPr>
        <w:t>ibisala, P. O., Alege, P. E..</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Sodipo, A. O. (2024). Reporting the anti-neuroinflammatory potential of selected spondias mombin flavonoids through network pharmacology and molecular dynamics simulations. </w:t>
      </w:r>
      <w:r w:rsidR="000644BF" w:rsidRPr="000644BF">
        <w:rPr>
          <w:rFonts w:ascii="Times New Roman" w:eastAsia="Times New Roman" w:hAnsi="Times New Roman" w:cs="Times New Roman"/>
          <w:i/>
          <w:sz w:val="24"/>
          <w:szCs w:val="24"/>
        </w:rPr>
        <w:t>In silico</w:t>
      </w:r>
      <w:r w:rsidRPr="00E9629A">
        <w:rPr>
          <w:rFonts w:ascii="Times New Roman" w:eastAsia="Times New Roman" w:hAnsi="Times New Roman" w:cs="Times New Roman"/>
          <w:i/>
          <w:sz w:val="24"/>
          <w:szCs w:val="24"/>
          <w:highlight w:val="white"/>
        </w:rPr>
        <w:t xml:space="preserve"> Pharmacology</w:t>
      </w:r>
      <w:r>
        <w:rPr>
          <w:rFonts w:ascii="Times New Roman" w:eastAsia="Times New Roman" w:hAnsi="Times New Roman" w:cs="Times New Roman"/>
          <w:sz w:val="24"/>
          <w:szCs w:val="24"/>
          <w:highlight w:val="white"/>
        </w:rPr>
        <w:t>, 12(2), 74.</w:t>
      </w:r>
    </w:p>
    <w:p w14:paraId="40EC7CD7" w14:textId="6BB70762"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Omoboyowa, D. A., Ojo, F. E., Samuel,</w:t>
      </w:r>
      <w:r w:rsidR="0026548E">
        <w:rPr>
          <w:rFonts w:ascii="Times New Roman" w:eastAsia="Times New Roman" w:hAnsi="Times New Roman" w:cs="Times New Roman"/>
          <w:sz w:val="24"/>
          <w:szCs w:val="24"/>
          <w:highlight w:val="white"/>
        </w:rPr>
        <w:t xml:space="preserve"> M., Leleji, S., Okeyomi, D. V.</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Joshua, P. E. (2025). Curculigo pilosa (Schumach.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Thonn.) Engl Rhizome Protects against Aluminum chloride-induced neurotoxicity in Drosophila melanogaster model. </w:t>
      </w:r>
      <w:r w:rsidRPr="00E9629A">
        <w:rPr>
          <w:rFonts w:ascii="Times New Roman" w:eastAsia="Times New Roman" w:hAnsi="Times New Roman" w:cs="Times New Roman"/>
          <w:i/>
          <w:sz w:val="24"/>
          <w:szCs w:val="24"/>
          <w:highlight w:val="white"/>
        </w:rPr>
        <w:t>Pharmacological Research-Natural Products</w:t>
      </w:r>
      <w:r>
        <w:rPr>
          <w:rFonts w:ascii="Times New Roman" w:eastAsia="Times New Roman" w:hAnsi="Times New Roman" w:cs="Times New Roman"/>
          <w:sz w:val="24"/>
          <w:szCs w:val="24"/>
          <w:highlight w:val="white"/>
        </w:rPr>
        <w:t>, 100382.</w:t>
      </w:r>
    </w:p>
    <w:p w14:paraId="4B7E2A88" w14:textId="7A33B81A"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Omotuyi, O. I., Nash, O., Inyang, O. K., Ogidig</w:t>
      </w:r>
      <w:r w:rsidR="0026548E">
        <w:rPr>
          <w:rFonts w:ascii="Times New Roman" w:eastAsia="Times New Roman" w:hAnsi="Times New Roman" w:cs="Times New Roman"/>
          <w:sz w:val="24"/>
          <w:szCs w:val="24"/>
          <w:highlight w:val="white"/>
        </w:rPr>
        <w:t>o, J., Enejoh, O., Okpalefe, O.</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Hamada, T. (2018). Flavonoid-rich extract of Chromolaena odorata modulates circulating GLP-1 in Wistar rats: computational evaluation of TGR5 involvement. </w:t>
      </w:r>
      <w:r w:rsidRPr="00E9629A">
        <w:rPr>
          <w:rFonts w:ascii="Times New Roman" w:eastAsia="Times New Roman" w:hAnsi="Times New Roman" w:cs="Times New Roman"/>
          <w:i/>
          <w:sz w:val="24"/>
          <w:szCs w:val="24"/>
          <w:highlight w:val="white"/>
        </w:rPr>
        <w:t>3 Biotech</w:t>
      </w:r>
      <w:r>
        <w:rPr>
          <w:rFonts w:ascii="Times New Roman" w:eastAsia="Times New Roman" w:hAnsi="Times New Roman" w:cs="Times New Roman"/>
          <w:sz w:val="24"/>
          <w:szCs w:val="24"/>
          <w:highlight w:val="white"/>
        </w:rPr>
        <w:t>, 8(2), 124.</w:t>
      </w:r>
    </w:p>
    <w:p w14:paraId="423288DC" w14:textId="5B4FFFE9"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Panebianco, C., Trivieri, N., Villani, A., Terracciano, F.</w:t>
      </w:r>
      <w:r w:rsidR="0026548E">
        <w:rPr>
          <w:rFonts w:ascii="Times New Roman" w:eastAsia="Times New Roman" w:hAnsi="Times New Roman" w:cs="Times New Roman"/>
          <w:sz w:val="24"/>
          <w:szCs w:val="24"/>
          <w:highlight w:val="white"/>
        </w:rPr>
        <w:t>, Latiano, T. P., Potenza, A</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Pazienza, V. (2021). Improving gemcitabine sensitivity in pancreatic cancer cells by restoring miRNA-217 levels. </w:t>
      </w:r>
      <w:r w:rsidRPr="0026548E">
        <w:rPr>
          <w:rFonts w:ascii="Times New Roman" w:eastAsia="Times New Roman" w:hAnsi="Times New Roman" w:cs="Times New Roman"/>
          <w:i/>
          <w:sz w:val="24"/>
          <w:szCs w:val="24"/>
          <w:highlight w:val="white"/>
        </w:rPr>
        <w:t>Biomolecules</w:t>
      </w:r>
      <w:r>
        <w:rPr>
          <w:rFonts w:ascii="Times New Roman" w:eastAsia="Times New Roman" w:hAnsi="Times New Roman" w:cs="Times New Roman"/>
          <w:sz w:val="24"/>
          <w:szCs w:val="24"/>
          <w:highlight w:val="white"/>
        </w:rPr>
        <w:t>, 11(5), 639.</w:t>
      </w:r>
    </w:p>
    <w:p w14:paraId="27B93784" w14:textId="1683DC20" w:rsidR="00802A6C" w:rsidRDefault="0026548E"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Park, J. S., Sung, M. J.</w:t>
      </w:r>
      <w:r w:rsidR="00802A6C">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sidR="00802A6C">
        <w:rPr>
          <w:rFonts w:ascii="Times New Roman" w:eastAsia="Times New Roman" w:hAnsi="Times New Roman" w:cs="Times New Roman"/>
          <w:sz w:val="24"/>
          <w:szCs w:val="24"/>
          <w:highlight w:val="white"/>
        </w:rPr>
        <w:t xml:space="preserve"> Na, H. J. (2025). Drosophila model systems reveal intestinal stem cells as key players in aging. </w:t>
      </w:r>
      <w:r w:rsidR="00802A6C" w:rsidRPr="0026548E">
        <w:rPr>
          <w:rFonts w:ascii="Times New Roman" w:eastAsia="Times New Roman" w:hAnsi="Times New Roman" w:cs="Times New Roman"/>
          <w:i/>
          <w:sz w:val="24"/>
          <w:szCs w:val="24"/>
          <w:highlight w:val="white"/>
        </w:rPr>
        <w:t>Annals of the New York Academy of Sciences</w:t>
      </w:r>
      <w:r w:rsidR="00802A6C">
        <w:rPr>
          <w:rFonts w:ascii="Times New Roman" w:eastAsia="Times New Roman" w:hAnsi="Times New Roman" w:cs="Times New Roman"/>
          <w:sz w:val="24"/>
          <w:szCs w:val="24"/>
          <w:highlight w:val="white"/>
        </w:rPr>
        <w:t>, 1547(1), 88-99.</w:t>
      </w:r>
    </w:p>
    <w:p w14:paraId="07938365" w14:textId="348172E3"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Piñero, J., Bravo, À., Queralt-Rosinach, N., Gutiérrez-Sacristán, </w:t>
      </w:r>
      <w:r w:rsidR="0026548E">
        <w:rPr>
          <w:rFonts w:ascii="Times New Roman" w:eastAsia="Times New Roman" w:hAnsi="Times New Roman" w:cs="Times New Roman"/>
          <w:sz w:val="24"/>
          <w:szCs w:val="24"/>
          <w:highlight w:val="white"/>
        </w:rPr>
        <w:t>A., Deu-Pons, J., Centeno, E.</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Furlong, L. I. (2016). DisGeNET: a comprehensive platform integrating information on human disease-associated genes and variants. </w:t>
      </w:r>
      <w:r w:rsidRPr="0026548E">
        <w:rPr>
          <w:rFonts w:ascii="Times New Roman" w:eastAsia="Times New Roman" w:hAnsi="Times New Roman" w:cs="Times New Roman"/>
          <w:i/>
          <w:sz w:val="24"/>
          <w:szCs w:val="24"/>
          <w:highlight w:val="white"/>
        </w:rPr>
        <w:t>Nucleic acids research</w:t>
      </w:r>
      <w:r>
        <w:rPr>
          <w:rFonts w:ascii="Times New Roman" w:eastAsia="Times New Roman" w:hAnsi="Times New Roman" w:cs="Times New Roman"/>
          <w:sz w:val="24"/>
          <w:szCs w:val="24"/>
          <w:highlight w:val="white"/>
        </w:rPr>
        <w:t>, gkw943.</w:t>
      </w:r>
    </w:p>
    <w:p w14:paraId="41247542" w14:textId="44DD782D"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Pratheeshkumar, P., Son, Y. O., Divya, S. P., Roy, R</w:t>
      </w:r>
      <w:r w:rsidR="0026548E">
        <w:rPr>
          <w:rFonts w:ascii="Times New Roman" w:eastAsia="Times New Roman" w:hAnsi="Times New Roman" w:cs="Times New Roman"/>
          <w:sz w:val="24"/>
          <w:szCs w:val="24"/>
          <w:highlight w:val="white"/>
        </w:rPr>
        <w:t>. V., Hitron, J. A., Wang, L.</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Shi, X. (2014). Luteolin inhibits Cr (VI)-induced malignant cell transformation of human lung epithelial cells by targeting ROS mediated multiple cell signaling pathways. </w:t>
      </w:r>
      <w:r w:rsidRPr="0026548E">
        <w:rPr>
          <w:rFonts w:ascii="Times New Roman" w:eastAsia="Times New Roman" w:hAnsi="Times New Roman" w:cs="Times New Roman"/>
          <w:i/>
          <w:sz w:val="24"/>
          <w:szCs w:val="24"/>
          <w:highlight w:val="white"/>
        </w:rPr>
        <w:t>Toxicology and applied pharmacology</w:t>
      </w:r>
      <w:r>
        <w:rPr>
          <w:rFonts w:ascii="Times New Roman" w:eastAsia="Times New Roman" w:hAnsi="Times New Roman" w:cs="Times New Roman"/>
          <w:sz w:val="24"/>
          <w:szCs w:val="24"/>
          <w:highlight w:val="white"/>
        </w:rPr>
        <w:t>, 281(2), 230-241.</w:t>
      </w:r>
    </w:p>
    <w:p w14:paraId="2EB34E54" w14:textId="772EBCBC"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Rauf, A., Wilairatana, P., Joshi, P., Ahmad, Z., Olat</w:t>
      </w:r>
      <w:r w:rsidR="0026548E">
        <w:rPr>
          <w:rFonts w:ascii="Times New Roman" w:eastAsia="Times New Roman" w:hAnsi="Times New Roman" w:cs="Times New Roman"/>
          <w:sz w:val="24"/>
          <w:szCs w:val="24"/>
          <w:highlight w:val="white"/>
        </w:rPr>
        <w:t>unde, A., Hafeez, N., Hemeg, H.</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Mubarak, M. (2024). Revisiting luteolin: An updated review on its anticancer potential. </w:t>
      </w:r>
      <w:r w:rsidRPr="0026548E">
        <w:rPr>
          <w:rFonts w:ascii="Times New Roman" w:eastAsia="Times New Roman" w:hAnsi="Times New Roman" w:cs="Times New Roman"/>
          <w:i/>
          <w:sz w:val="24"/>
          <w:szCs w:val="24"/>
          <w:highlight w:val="white"/>
        </w:rPr>
        <w:t>Heliyon</w:t>
      </w:r>
      <w:r>
        <w:rPr>
          <w:rFonts w:ascii="Times New Roman" w:eastAsia="Times New Roman" w:hAnsi="Times New Roman" w:cs="Times New Roman"/>
          <w:sz w:val="24"/>
          <w:szCs w:val="24"/>
          <w:highlight w:val="white"/>
        </w:rPr>
        <w:t>, 10. https://doi.org/10.1016/j.</w:t>
      </w:r>
      <w:r w:rsidRPr="0026548E">
        <w:rPr>
          <w:rFonts w:ascii="Times New Roman" w:eastAsia="Times New Roman" w:hAnsi="Times New Roman" w:cs="Times New Roman"/>
          <w:i/>
          <w:sz w:val="24"/>
          <w:szCs w:val="24"/>
          <w:highlight w:val="white"/>
        </w:rPr>
        <w:t>heliyon</w:t>
      </w:r>
      <w:r>
        <w:rPr>
          <w:rFonts w:ascii="Times New Roman" w:eastAsia="Times New Roman" w:hAnsi="Times New Roman" w:cs="Times New Roman"/>
          <w:sz w:val="24"/>
          <w:szCs w:val="24"/>
          <w:highlight w:val="white"/>
        </w:rPr>
        <w:t>.2024.e26701.</w:t>
      </w:r>
    </w:p>
    <w:p w14:paraId="2FD0AED4" w14:textId="77777777"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Reyes-Farias, M. and Carrasco-Pozo, C. (2019). The anti-cancer effect of quercetin: molecular implications in cancer metabolism. </w:t>
      </w:r>
      <w:r w:rsidRPr="0070776B">
        <w:rPr>
          <w:rFonts w:ascii="Times New Roman" w:eastAsia="Times New Roman" w:hAnsi="Times New Roman" w:cs="Times New Roman"/>
          <w:i/>
          <w:sz w:val="24"/>
          <w:szCs w:val="24"/>
          <w:highlight w:val="white"/>
        </w:rPr>
        <w:t>International journal of molecular sciences</w:t>
      </w:r>
      <w:r>
        <w:rPr>
          <w:rFonts w:ascii="Times New Roman" w:eastAsia="Times New Roman" w:hAnsi="Times New Roman" w:cs="Times New Roman"/>
          <w:sz w:val="24"/>
          <w:szCs w:val="24"/>
          <w:highlight w:val="white"/>
        </w:rPr>
        <w:t>, 20(13), 3177.</w:t>
      </w:r>
    </w:p>
    <w:p w14:paraId="73CFCB56" w14:textId="6AB0BF8F"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Rocchetti, M. T., Bellanti,</w:t>
      </w:r>
      <w:r w:rsidR="0026548E">
        <w:rPr>
          <w:rFonts w:ascii="Times New Roman" w:eastAsia="Times New Roman" w:hAnsi="Times New Roman" w:cs="Times New Roman"/>
          <w:sz w:val="24"/>
          <w:szCs w:val="24"/>
          <w:highlight w:val="white"/>
        </w:rPr>
        <w:t xml:space="preserve"> F., Zadorozhna, M., Fiocco, D.</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Mangieri, D. (2023). Multi-faceted role of luteolin in cancer metastasis: EMT, angiogenesis, ECM degradation and apoptosis. </w:t>
      </w:r>
      <w:r w:rsidRPr="0070776B">
        <w:rPr>
          <w:rFonts w:ascii="Times New Roman" w:eastAsia="Times New Roman" w:hAnsi="Times New Roman" w:cs="Times New Roman"/>
          <w:i/>
          <w:sz w:val="24"/>
          <w:szCs w:val="24"/>
          <w:highlight w:val="white"/>
        </w:rPr>
        <w:t>International Journal of Molecular Sciences</w:t>
      </w:r>
      <w:r>
        <w:rPr>
          <w:rFonts w:ascii="Times New Roman" w:eastAsia="Times New Roman" w:hAnsi="Times New Roman" w:cs="Times New Roman"/>
          <w:sz w:val="24"/>
          <w:szCs w:val="24"/>
          <w:highlight w:val="white"/>
        </w:rPr>
        <w:t>, 24(10), 8824.</w:t>
      </w:r>
    </w:p>
    <w:p w14:paraId="05B897A9" w14:textId="2784C986"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Roshan, M. K., Soltani, A., Soleimani, A., Kahkhaie, K. R., Afshari, A. R.,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Soukhtanloo, M. (2019). Role of AKT and mTOR signaling pathways in the induction of epithelial-mesenchymal transition (EMT) process. </w:t>
      </w:r>
      <w:r w:rsidRPr="0026548E">
        <w:rPr>
          <w:rFonts w:ascii="Times New Roman" w:eastAsia="Times New Roman" w:hAnsi="Times New Roman" w:cs="Times New Roman"/>
          <w:i/>
          <w:sz w:val="24"/>
          <w:szCs w:val="24"/>
          <w:highlight w:val="white"/>
        </w:rPr>
        <w:t>Biochimie</w:t>
      </w:r>
      <w:r>
        <w:rPr>
          <w:rFonts w:ascii="Times New Roman" w:eastAsia="Times New Roman" w:hAnsi="Times New Roman" w:cs="Times New Roman"/>
          <w:sz w:val="24"/>
          <w:szCs w:val="24"/>
          <w:highlight w:val="white"/>
        </w:rPr>
        <w:t>, 165, 229-234.</w:t>
      </w:r>
    </w:p>
    <w:p w14:paraId="159ED3C9" w14:textId="54B1C259" w:rsidR="00802A6C" w:rsidRDefault="0026548E"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Sadaqat, Z., Kaushik, S.</w:t>
      </w:r>
      <w:r w:rsidR="00802A6C">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sidR="00802A6C">
        <w:rPr>
          <w:rFonts w:ascii="Times New Roman" w:eastAsia="Times New Roman" w:hAnsi="Times New Roman" w:cs="Times New Roman"/>
          <w:sz w:val="24"/>
          <w:szCs w:val="24"/>
          <w:highlight w:val="white"/>
        </w:rPr>
        <w:t xml:space="preserve"> Kain, P. (2021). Gut feeding the brain: drosophila gut an animal model for medicine to understand mechanisms mediating food preferences. In </w:t>
      </w:r>
      <w:r w:rsidR="00802A6C">
        <w:rPr>
          <w:rFonts w:ascii="Times New Roman" w:eastAsia="Times New Roman" w:hAnsi="Times New Roman" w:cs="Times New Roman"/>
          <w:sz w:val="24"/>
          <w:szCs w:val="24"/>
          <w:highlight w:val="white"/>
        </w:rPr>
        <w:lastRenderedPageBreak/>
        <w:t xml:space="preserve">Preclinical Animal Modeling in Medicine. </w:t>
      </w:r>
      <w:r w:rsidR="00802A6C" w:rsidRPr="00E9629A">
        <w:rPr>
          <w:rFonts w:ascii="Times New Roman" w:eastAsia="Times New Roman" w:hAnsi="Times New Roman" w:cs="Times New Roman"/>
          <w:i/>
          <w:sz w:val="24"/>
          <w:szCs w:val="24"/>
          <w:highlight w:val="white"/>
        </w:rPr>
        <w:t>IntechOpen</w:t>
      </w:r>
      <w:r w:rsidR="00802A6C">
        <w:rPr>
          <w:rFonts w:ascii="Times New Roman" w:eastAsia="Times New Roman" w:hAnsi="Times New Roman" w:cs="Times New Roman"/>
          <w:sz w:val="24"/>
          <w:szCs w:val="24"/>
          <w:highlight w:val="white"/>
        </w:rPr>
        <w:t>.</w:t>
      </w:r>
      <w:r w:rsidR="00E9629A">
        <w:rPr>
          <w:rFonts w:ascii="Times New Roman" w:eastAsia="Times New Roman" w:hAnsi="Times New Roman" w:cs="Times New Roman"/>
          <w:sz w:val="24"/>
          <w:szCs w:val="24"/>
          <w:highlight w:val="white"/>
        </w:rPr>
        <w:t xml:space="preserve"> </w:t>
      </w:r>
      <w:r w:rsidR="000644BF" w:rsidRPr="000644BF">
        <w:rPr>
          <w:rFonts w:ascii="Times New Roman" w:eastAsia="Times New Roman" w:hAnsi="Times New Roman" w:cs="Times New Roman"/>
          <w:sz w:val="24"/>
          <w:szCs w:val="24"/>
          <w:highlight w:val="white"/>
        </w:rPr>
        <w:t> https://doi.org/10.5772/intechopen.96503</w:t>
      </w:r>
    </w:p>
    <w:p w14:paraId="092F9200" w14:textId="53A9E751"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Sang, T., Liang,</w:t>
      </w:r>
      <w:r w:rsidR="0026548E">
        <w:rPr>
          <w:rFonts w:ascii="Times New Roman" w:eastAsia="Times New Roman" w:hAnsi="Times New Roman" w:cs="Times New Roman"/>
          <w:sz w:val="24"/>
          <w:szCs w:val="24"/>
          <w:highlight w:val="white"/>
        </w:rPr>
        <w:t xml:space="preserve"> A., Zhou, H., Qiu, W., Shi, L.</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Zhou, H. (2024). Integrating UPLC‐MS/MS Bioinformatics and </w:t>
      </w:r>
      <w:r w:rsidR="000644BF" w:rsidRPr="000644BF">
        <w:rPr>
          <w:rFonts w:ascii="Times New Roman" w:eastAsia="Times New Roman" w:hAnsi="Times New Roman" w:cs="Times New Roman"/>
          <w:i/>
          <w:sz w:val="24"/>
          <w:szCs w:val="24"/>
        </w:rPr>
        <w:t>In vivo</w:t>
      </w:r>
      <w:r>
        <w:rPr>
          <w:rFonts w:ascii="Times New Roman" w:eastAsia="Times New Roman" w:hAnsi="Times New Roman" w:cs="Times New Roman"/>
          <w:sz w:val="24"/>
          <w:szCs w:val="24"/>
          <w:highlight w:val="white"/>
        </w:rPr>
        <w:t xml:space="preserve"> Experiments Validation to Elucidate the Mechanism of Wenzi Jiedu Decoction in Suppressing Colorectal Cancer. </w:t>
      </w:r>
      <w:r w:rsidRPr="00E9629A">
        <w:rPr>
          <w:rFonts w:ascii="Times New Roman" w:eastAsia="Times New Roman" w:hAnsi="Times New Roman" w:cs="Times New Roman"/>
          <w:i/>
          <w:sz w:val="24"/>
          <w:szCs w:val="24"/>
          <w:highlight w:val="white"/>
        </w:rPr>
        <w:t>Phytochemical Analysis</w:t>
      </w:r>
      <w:r>
        <w:rPr>
          <w:rFonts w:ascii="Times New Roman" w:eastAsia="Times New Roman" w:hAnsi="Times New Roman" w:cs="Times New Roman"/>
          <w:sz w:val="24"/>
          <w:szCs w:val="24"/>
          <w:highlight w:val="white"/>
        </w:rPr>
        <w:t>, 36. https://doi.org/10.1002/pca.3495.</w:t>
      </w:r>
    </w:p>
    <w:p w14:paraId="0100C486" w14:textId="2087F770"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Shahbaz, M., Naeem, H., Momal, U., Imran, M., Alsag</w:t>
      </w:r>
      <w:r w:rsidR="0026548E">
        <w:rPr>
          <w:rFonts w:ascii="Times New Roman" w:eastAsia="Times New Roman" w:hAnsi="Times New Roman" w:cs="Times New Roman"/>
          <w:sz w:val="24"/>
          <w:szCs w:val="24"/>
          <w:highlight w:val="white"/>
        </w:rPr>
        <w:t>aby, S. A., Al Abdulmonem, W.</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Al Jbawi, E. (2023). Anticancer and apoptosis inducing potential of quercetin against a wide range of human malignancies. </w:t>
      </w:r>
      <w:r w:rsidRPr="0070776B">
        <w:rPr>
          <w:rFonts w:ascii="Times New Roman" w:eastAsia="Times New Roman" w:hAnsi="Times New Roman" w:cs="Times New Roman"/>
          <w:i/>
          <w:sz w:val="24"/>
          <w:szCs w:val="24"/>
          <w:highlight w:val="white"/>
        </w:rPr>
        <w:t>International Journal of Food Properties</w:t>
      </w:r>
      <w:r>
        <w:rPr>
          <w:rFonts w:ascii="Times New Roman" w:eastAsia="Times New Roman" w:hAnsi="Times New Roman" w:cs="Times New Roman"/>
          <w:sz w:val="24"/>
          <w:szCs w:val="24"/>
          <w:highlight w:val="white"/>
        </w:rPr>
        <w:t>, 26(1), 2590-2626.</w:t>
      </w:r>
    </w:p>
    <w:p w14:paraId="157FF6D7" w14:textId="5AD82246"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Silcock, L. (2024). A novel genetic system to study tumour heterogeneity and clonal dynamics in gastrointestinal tract cancers (Doctoral dissertation, Queen Mary, University of London).</w:t>
      </w:r>
      <w:r w:rsidR="000644BF">
        <w:rPr>
          <w:rFonts w:ascii="Times New Roman" w:eastAsia="Times New Roman" w:hAnsi="Times New Roman" w:cs="Times New Roman"/>
          <w:sz w:val="24"/>
          <w:szCs w:val="24"/>
          <w:highlight w:val="white"/>
        </w:rPr>
        <w:t xml:space="preserve"> Pp 1-281</w:t>
      </w:r>
    </w:p>
    <w:p w14:paraId="692D4562" w14:textId="0F1E4074"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Singh Tuli, H., Rath, P., Chauhan, A., Sak, K.</w:t>
      </w:r>
      <w:r w:rsidR="0026548E">
        <w:rPr>
          <w:rFonts w:ascii="Times New Roman" w:eastAsia="Times New Roman" w:hAnsi="Times New Roman" w:cs="Times New Roman"/>
          <w:sz w:val="24"/>
          <w:szCs w:val="24"/>
          <w:highlight w:val="white"/>
        </w:rPr>
        <w:t>, Aggarwal, D., Choudhary, R.</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Haque, S. (2022). Luteolin, a potent anticancer compound: from chemistry to cellular interactions and synergetic perspectives. </w:t>
      </w:r>
      <w:r w:rsidRPr="0070776B">
        <w:rPr>
          <w:rFonts w:ascii="Times New Roman" w:eastAsia="Times New Roman" w:hAnsi="Times New Roman" w:cs="Times New Roman"/>
          <w:i/>
          <w:sz w:val="24"/>
          <w:szCs w:val="24"/>
          <w:highlight w:val="white"/>
        </w:rPr>
        <w:t>Cancers</w:t>
      </w:r>
      <w:r>
        <w:rPr>
          <w:rFonts w:ascii="Times New Roman" w:eastAsia="Times New Roman" w:hAnsi="Times New Roman" w:cs="Times New Roman"/>
          <w:sz w:val="24"/>
          <w:szCs w:val="24"/>
          <w:highlight w:val="white"/>
        </w:rPr>
        <w:t>, 14(21), 5373.</w:t>
      </w:r>
    </w:p>
    <w:p w14:paraId="08CBBD8C" w14:textId="77777777"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Singh, D. and Shukla, G. (2024). The multifaceted anticancer potential of luteolin: involvement of NF-κB, AMPK/mTOR, PI3K/Akt, MAPK, and Wnt/β-catenin pathways. </w:t>
      </w:r>
      <w:r w:rsidRPr="0070776B">
        <w:rPr>
          <w:rFonts w:ascii="Times New Roman" w:eastAsia="Times New Roman" w:hAnsi="Times New Roman" w:cs="Times New Roman"/>
          <w:i/>
          <w:sz w:val="24"/>
          <w:szCs w:val="24"/>
          <w:highlight w:val="white"/>
        </w:rPr>
        <w:t>Inflammopharmacology</w:t>
      </w:r>
      <w:r>
        <w:rPr>
          <w:rFonts w:ascii="Times New Roman" w:eastAsia="Times New Roman" w:hAnsi="Times New Roman" w:cs="Times New Roman"/>
          <w:sz w:val="24"/>
          <w:szCs w:val="24"/>
          <w:highlight w:val="white"/>
        </w:rPr>
        <w:t>, 33, 505 - 525. https://doi.org/10.1007/s10787-024-01596-8.</w:t>
      </w:r>
    </w:p>
    <w:p w14:paraId="0B336619" w14:textId="5FA38668"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Sukrueangkul, A., Sirisuwan, P., Anonjarn, K., Poungsamai, P., Hud</w:t>
      </w:r>
      <w:r w:rsidR="0026548E">
        <w:rPr>
          <w:rFonts w:ascii="Times New Roman" w:eastAsia="Times New Roman" w:hAnsi="Times New Roman" w:cs="Times New Roman"/>
          <w:sz w:val="24"/>
          <w:szCs w:val="24"/>
          <w:highlight w:val="white"/>
        </w:rPr>
        <w:t>rudchai, S., Thongkamwong, N.</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Suangpho, P. (2024). Health Literacy and Demand for Medical Cannabis use among Colorectal Cancer Patients in Northern Thailand: A Cross-Sectional Study. </w:t>
      </w:r>
      <w:r w:rsidRPr="0026548E">
        <w:rPr>
          <w:rFonts w:ascii="Times New Roman" w:eastAsia="Times New Roman" w:hAnsi="Times New Roman" w:cs="Times New Roman"/>
          <w:i/>
          <w:sz w:val="24"/>
          <w:szCs w:val="24"/>
          <w:highlight w:val="white"/>
        </w:rPr>
        <w:t>Asian Pacific Journal of Cancer Prevention:</w:t>
      </w:r>
      <w:r>
        <w:rPr>
          <w:rFonts w:ascii="Times New Roman" w:eastAsia="Times New Roman" w:hAnsi="Times New Roman" w:cs="Times New Roman"/>
          <w:sz w:val="24"/>
          <w:szCs w:val="24"/>
          <w:highlight w:val="white"/>
        </w:rPr>
        <w:t xml:space="preserve"> APJCP, 25(3), 999.</w:t>
      </w:r>
    </w:p>
    <w:p w14:paraId="4DE09670" w14:textId="79B7FDBF"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Szklarczyk, D., Gable, A. L., Lyon, D., Junge, A., Wyder, S.</w:t>
      </w:r>
      <w:r w:rsidR="0026548E">
        <w:rPr>
          <w:rFonts w:ascii="Times New Roman" w:eastAsia="Times New Roman" w:hAnsi="Times New Roman" w:cs="Times New Roman"/>
          <w:sz w:val="24"/>
          <w:szCs w:val="24"/>
          <w:highlight w:val="white"/>
        </w:rPr>
        <w:t>, Huerta-Cepas, J.</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Mering, C. V. (2019). STRING v11: protein–protein association networks with increased coverage, supporting functional discovery in genome-wide experimental datasets. Nucleic acids research, 47(D1), D607-D613. Szklarczyk, D., Gable, A. L., Lyon, D., </w:t>
      </w:r>
      <w:r>
        <w:rPr>
          <w:rFonts w:ascii="Times New Roman" w:eastAsia="Times New Roman" w:hAnsi="Times New Roman" w:cs="Times New Roman"/>
          <w:sz w:val="24"/>
          <w:szCs w:val="24"/>
          <w:highlight w:val="white"/>
        </w:rPr>
        <w:lastRenderedPageBreak/>
        <w:t xml:space="preserve">Junge, A., Wyder, S., Huerta-Cepas, J.,...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Mering, C. V. (2019). STRING v11: protein–protein association networks with increased coverage, supporting functional discovery in genome-wide experimental datasets. </w:t>
      </w:r>
      <w:r w:rsidRPr="0026548E">
        <w:rPr>
          <w:rFonts w:ascii="Times New Roman" w:eastAsia="Times New Roman" w:hAnsi="Times New Roman" w:cs="Times New Roman"/>
          <w:i/>
          <w:sz w:val="24"/>
          <w:szCs w:val="24"/>
          <w:highlight w:val="white"/>
        </w:rPr>
        <w:t>Nucleic acids research</w:t>
      </w:r>
      <w:r>
        <w:rPr>
          <w:rFonts w:ascii="Times New Roman" w:eastAsia="Times New Roman" w:hAnsi="Times New Roman" w:cs="Times New Roman"/>
          <w:sz w:val="24"/>
          <w:szCs w:val="24"/>
          <w:highlight w:val="white"/>
        </w:rPr>
        <w:t>, 47(D1), D607-D613.</w:t>
      </w:r>
    </w:p>
    <w:p w14:paraId="3BF819DC" w14:textId="51DB7203" w:rsidR="00802A6C" w:rsidRDefault="0026548E"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Taieb, J.</w:t>
      </w:r>
      <w:r w:rsidR="00802A6C">
        <w:rPr>
          <w:rFonts w:ascii="Times New Roman" w:eastAsia="Times New Roman" w:hAnsi="Times New Roman" w:cs="Times New Roman"/>
          <w:sz w:val="24"/>
          <w:szCs w:val="24"/>
          <w:highlight w:val="white"/>
        </w:rPr>
        <w:t xml:space="preserve"> and Gallois, C. (2020). Adjuvant chemotherapy for stage III colon cancer. </w:t>
      </w:r>
      <w:r w:rsidR="00802A6C" w:rsidRPr="0070776B">
        <w:rPr>
          <w:rFonts w:ascii="Times New Roman" w:eastAsia="Times New Roman" w:hAnsi="Times New Roman" w:cs="Times New Roman"/>
          <w:i/>
          <w:sz w:val="24"/>
          <w:szCs w:val="24"/>
          <w:highlight w:val="white"/>
        </w:rPr>
        <w:t>Cancers</w:t>
      </w:r>
      <w:r w:rsidR="00802A6C">
        <w:rPr>
          <w:rFonts w:ascii="Times New Roman" w:eastAsia="Times New Roman" w:hAnsi="Times New Roman" w:cs="Times New Roman"/>
          <w:sz w:val="24"/>
          <w:szCs w:val="24"/>
          <w:highlight w:val="white"/>
        </w:rPr>
        <w:t>, 12(9), 2679.</w:t>
      </w:r>
    </w:p>
    <w:p w14:paraId="3804D83A" w14:textId="3FA6AFEB" w:rsidR="00802A6C" w:rsidRDefault="0026548E"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Testa, U., Pelosi, E.</w:t>
      </w:r>
      <w:r w:rsidR="00802A6C">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sidR="00802A6C">
        <w:rPr>
          <w:rFonts w:ascii="Times New Roman" w:eastAsia="Times New Roman" w:hAnsi="Times New Roman" w:cs="Times New Roman"/>
          <w:sz w:val="24"/>
          <w:szCs w:val="24"/>
          <w:highlight w:val="white"/>
        </w:rPr>
        <w:t xml:space="preserve"> Castelli, G. (2018). Colorectal cancer: genetic abnormalities, tumor progression, tumor heterogeneity, clonal evolution and tumor-initiating cells. </w:t>
      </w:r>
      <w:r w:rsidR="00802A6C" w:rsidRPr="0026548E">
        <w:rPr>
          <w:rFonts w:ascii="Times New Roman" w:eastAsia="Times New Roman" w:hAnsi="Times New Roman" w:cs="Times New Roman"/>
          <w:i/>
          <w:sz w:val="24"/>
          <w:szCs w:val="24"/>
          <w:highlight w:val="white"/>
        </w:rPr>
        <w:t>Medical Sciences</w:t>
      </w:r>
      <w:r w:rsidR="00802A6C">
        <w:rPr>
          <w:rFonts w:ascii="Times New Roman" w:eastAsia="Times New Roman" w:hAnsi="Times New Roman" w:cs="Times New Roman"/>
          <w:sz w:val="24"/>
          <w:szCs w:val="24"/>
          <w:highlight w:val="white"/>
        </w:rPr>
        <w:t>, 6(2), 31.</w:t>
      </w:r>
    </w:p>
    <w:p w14:paraId="2CE7F19A" w14:textId="35467E45"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Tuli, H., Rath, P., Chauhan, A., Sak, K., Aggarwal, D., Choudhary, R., Sharma, U., Vashishth, K., Sharma, S., Kumar, M., </w:t>
      </w:r>
      <w:r w:rsidR="0026548E">
        <w:rPr>
          <w:rFonts w:ascii="Times New Roman" w:eastAsia="Times New Roman" w:hAnsi="Times New Roman" w:cs="Times New Roman"/>
          <w:sz w:val="24"/>
          <w:szCs w:val="24"/>
          <w:highlight w:val="white"/>
        </w:rPr>
        <w:t>Yadav, V., Singh, T., Yerer, M.</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Haque, S. (2022). Luteolin, a Potent Anticancer Compound: From Chemistry to Cellular Interactions and Synergetic Perspectives. </w:t>
      </w:r>
      <w:r w:rsidRPr="0026548E">
        <w:rPr>
          <w:rFonts w:ascii="Times New Roman" w:eastAsia="Times New Roman" w:hAnsi="Times New Roman" w:cs="Times New Roman"/>
          <w:i/>
          <w:sz w:val="24"/>
          <w:szCs w:val="24"/>
          <w:highlight w:val="white"/>
        </w:rPr>
        <w:t>Cancers</w:t>
      </w:r>
      <w:r>
        <w:rPr>
          <w:rFonts w:ascii="Times New Roman" w:eastAsia="Times New Roman" w:hAnsi="Times New Roman" w:cs="Times New Roman"/>
          <w:sz w:val="24"/>
          <w:szCs w:val="24"/>
          <w:highlight w:val="white"/>
        </w:rPr>
        <w:t>, 14. https://doi.org/10.3390/cancers14215373.</w:t>
      </w:r>
    </w:p>
    <w:p w14:paraId="592C7430" w14:textId="1722FBBC"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Vendrely, V., Del Campo, E. R., Modesto, A., Jolnerowski,</w:t>
      </w:r>
      <w:r w:rsidR="0026548E">
        <w:rPr>
          <w:rFonts w:ascii="Times New Roman" w:eastAsia="Times New Roman" w:hAnsi="Times New Roman" w:cs="Times New Roman"/>
          <w:sz w:val="24"/>
          <w:szCs w:val="24"/>
          <w:highlight w:val="white"/>
        </w:rPr>
        <w:t xml:space="preserve"> M., Meillan, N., Chiavassa, S</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Peiffert, D. (2022). Rectal cancer radiotherapy. </w:t>
      </w:r>
      <w:r w:rsidRPr="0070776B">
        <w:rPr>
          <w:rFonts w:ascii="Times New Roman" w:eastAsia="Times New Roman" w:hAnsi="Times New Roman" w:cs="Times New Roman"/>
          <w:i/>
          <w:sz w:val="24"/>
          <w:szCs w:val="24"/>
          <w:highlight w:val="white"/>
        </w:rPr>
        <w:t>Cancer/Radiothérapie</w:t>
      </w:r>
      <w:r>
        <w:rPr>
          <w:rFonts w:ascii="Times New Roman" w:eastAsia="Times New Roman" w:hAnsi="Times New Roman" w:cs="Times New Roman"/>
          <w:sz w:val="24"/>
          <w:szCs w:val="24"/>
          <w:highlight w:val="white"/>
        </w:rPr>
        <w:t>, 26(1-2), 272-278.</w:t>
      </w:r>
    </w:p>
    <w:p w14:paraId="4064C990" w14:textId="4CBE3548" w:rsidR="000D0E25" w:rsidRDefault="00802A6C" w:rsidP="000D0E25">
      <w:pPr>
        <w:spacing w:before="240" w:after="240" w:line="36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Waly, M. I., Al-Rawahi, A. S., Al Riyami, M., Al-Kindi, M. A., Al</w:t>
      </w:r>
      <w:r w:rsidR="0026548E">
        <w:rPr>
          <w:rFonts w:ascii="Times New Roman" w:eastAsia="Times New Roman" w:hAnsi="Times New Roman" w:cs="Times New Roman"/>
          <w:sz w:val="24"/>
          <w:szCs w:val="24"/>
          <w:highlight w:val="white"/>
        </w:rPr>
        <w:t>-Issaei, H. K., Farooq, S. A.</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Rahman, M. S. (2014). Amelioration of azoxymethane induced-carcinogenesis by reducing oxidative stress in rat colon by natural extracts. </w:t>
      </w:r>
      <w:r w:rsidRPr="0026548E">
        <w:rPr>
          <w:rFonts w:ascii="Times New Roman" w:eastAsia="Times New Roman" w:hAnsi="Times New Roman" w:cs="Times New Roman"/>
          <w:i/>
          <w:sz w:val="24"/>
          <w:szCs w:val="24"/>
          <w:highlight w:val="white"/>
        </w:rPr>
        <w:t>BMC complementary and alternative medicine</w:t>
      </w:r>
      <w:r>
        <w:rPr>
          <w:rFonts w:ascii="Times New Roman" w:eastAsia="Times New Roman" w:hAnsi="Times New Roman" w:cs="Times New Roman"/>
          <w:sz w:val="24"/>
          <w:szCs w:val="24"/>
          <w:highlight w:val="white"/>
        </w:rPr>
        <w:t>, 14(1), 60.</w:t>
      </w:r>
    </w:p>
    <w:p w14:paraId="6C9D050D" w14:textId="30AA22D5" w:rsidR="000D0E25" w:rsidRPr="000D0E25" w:rsidRDefault="000D0E25" w:rsidP="000D0E25">
      <w:pPr>
        <w:spacing w:before="240" w:after="240" w:line="360" w:lineRule="auto"/>
        <w:ind w:left="567" w:hanging="567"/>
        <w:jc w:val="both"/>
        <w:rPr>
          <w:rFonts w:ascii="Times New Roman" w:eastAsia="Times New Roman" w:hAnsi="Times New Roman" w:cs="Times New Roman"/>
          <w:sz w:val="24"/>
          <w:szCs w:val="24"/>
          <w:highlight w:val="white"/>
        </w:rPr>
      </w:pPr>
      <w:r w:rsidRPr="000D0E25">
        <w:rPr>
          <w:rFonts w:ascii="Times New Roman" w:hAnsi="Times New Roman" w:cs="Times New Roman"/>
          <w:color w:val="000000" w:themeColor="text1"/>
          <w:sz w:val="24"/>
          <w:szCs w:val="24"/>
        </w:rPr>
        <w:t>Wan, C., Liang, Q., Ma, Y., Wan</w:t>
      </w:r>
      <w:r w:rsidR="0026548E">
        <w:rPr>
          <w:rFonts w:ascii="Times New Roman" w:hAnsi="Times New Roman" w:cs="Times New Roman"/>
          <w:color w:val="000000" w:themeColor="text1"/>
          <w:sz w:val="24"/>
          <w:szCs w:val="24"/>
        </w:rPr>
        <w:t>g, Y., Sun, L., Lai, J., Wu, J.</w:t>
      </w:r>
      <w:r w:rsidRPr="000D0E25">
        <w:rPr>
          <w:rFonts w:ascii="Times New Roman" w:hAnsi="Times New Roman" w:cs="Times New Roman"/>
          <w:color w:val="000000" w:themeColor="text1"/>
          <w:sz w:val="24"/>
          <w:szCs w:val="24"/>
        </w:rPr>
        <w:t xml:space="preserve"> </w:t>
      </w:r>
      <w:r w:rsidR="00E73F0F">
        <w:rPr>
          <w:rFonts w:ascii="Times New Roman" w:hAnsi="Times New Roman" w:cs="Times New Roman"/>
          <w:color w:val="000000" w:themeColor="text1"/>
          <w:sz w:val="24"/>
          <w:szCs w:val="24"/>
        </w:rPr>
        <w:t>and</w:t>
      </w:r>
      <w:r w:rsidRPr="000D0E25">
        <w:rPr>
          <w:rFonts w:ascii="Times New Roman" w:hAnsi="Times New Roman" w:cs="Times New Roman"/>
          <w:color w:val="000000" w:themeColor="text1"/>
          <w:sz w:val="24"/>
          <w:szCs w:val="24"/>
        </w:rPr>
        <w:t xml:space="preserve"> Chen, Z. (2025). Luteolin: a natural product with multiple mechanisms for atherosclerosis. </w:t>
      </w:r>
      <w:r w:rsidRPr="000D0E25">
        <w:rPr>
          <w:rFonts w:ascii="Times New Roman" w:hAnsi="Times New Roman" w:cs="Times New Roman"/>
          <w:i/>
          <w:iCs/>
          <w:color w:val="000000" w:themeColor="text1"/>
          <w:sz w:val="24"/>
          <w:szCs w:val="24"/>
        </w:rPr>
        <w:t>Frontiers in pharmacology</w:t>
      </w:r>
      <w:r w:rsidRPr="000D0E25">
        <w:rPr>
          <w:rFonts w:ascii="Times New Roman" w:hAnsi="Times New Roman" w:cs="Times New Roman"/>
          <w:color w:val="000000" w:themeColor="text1"/>
          <w:sz w:val="24"/>
          <w:szCs w:val="24"/>
        </w:rPr>
        <w:t>, </w:t>
      </w:r>
      <w:r w:rsidRPr="000D0E25">
        <w:rPr>
          <w:rFonts w:ascii="Times New Roman" w:hAnsi="Times New Roman" w:cs="Times New Roman"/>
          <w:i/>
          <w:iCs/>
          <w:color w:val="000000" w:themeColor="text1"/>
          <w:sz w:val="24"/>
          <w:szCs w:val="24"/>
        </w:rPr>
        <w:t>16</w:t>
      </w:r>
      <w:r w:rsidRPr="000D0E25">
        <w:rPr>
          <w:rFonts w:ascii="Times New Roman" w:hAnsi="Times New Roman" w:cs="Times New Roman"/>
          <w:color w:val="000000" w:themeColor="text1"/>
          <w:sz w:val="24"/>
          <w:szCs w:val="24"/>
        </w:rPr>
        <w:t xml:space="preserve">, 1503832. </w:t>
      </w:r>
      <w:r w:rsidRPr="00842B35">
        <w:rPr>
          <w:rFonts w:ascii="Times New Roman" w:hAnsi="Times New Roman" w:cs="Times New Roman"/>
          <w:sz w:val="24"/>
          <w:szCs w:val="24"/>
        </w:rPr>
        <w:t>https://doi.org/10.3389/fphar.2025.1503832</w:t>
      </w:r>
    </w:p>
    <w:p w14:paraId="5129F350" w14:textId="4D45A486" w:rsidR="00802A6C" w:rsidRDefault="0026548E"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Wang, Q., Yu, M.</w:t>
      </w:r>
      <w:r w:rsidR="00802A6C">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sidR="00802A6C">
        <w:rPr>
          <w:rFonts w:ascii="Times New Roman" w:eastAsia="Times New Roman" w:hAnsi="Times New Roman" w:cs="Times New Roman"/>
          <w:sz w:val="24"/>
          <w:szCs w:val="24"/>
          <w:highlight w:val="white"/>
        </w:rPr>
        <w:t xml:space="preserve"> Zhang, S. (2025). The characteristics of the tumor immune microenvironment in colorectal cancer with different MSI status and current therapeutic strategies. </w:t>
      </w:r>
      <w:r w:rsidR="00802A6C" w:rsidRPr="0070776B">
        <w:rPr>
          <w:rFonts w:ascii="Times New Roman" w:eastAsia="Times New Roman" w:hAnsi="Times New Roman" w:cs="Times New Roman"/>
          <w:i/>
          <w:sz w:val="24"/>
          <w:szCs w:val="24"/>
          <w:highlight w:val="white"/>
        </w:rPr>
        <w:t>Frontiers in Immunology</w:t>
      </w:r>
      <w:r w:rsidR="00802A6C">
        <w:rPr>
          <w:rFonts w:ascii="Times New Roman" w:eastAsia="Times New Roman" w:hAnsi="Times New Roman" w:cs="Times New Roman"/>
          <w:sz w:val="24"/>
          <w:szCs w:val="24"/>
          <w:highlight w:val="white"/>
        </w:rPr>
        <w:t>, 15, 1440830.</w:t>
      </w:r>
    </w:p>
    <w:p w14:paraId="516817AF" w14:textId="4E54B5A6" w:rsidR="00802A6C" w:rsidRDefault="0026548E"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Wang, T., Fu, J., Huang, Y.</w:t>
      </w:r>
      <w:r w:rsidR="00802A6C">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sidR="00802A6C">
        <w:rPr>
          <w:rFonts w:ascii="Times New Roman" w:eastAsia="Times New Roman" w:hAnsi="Times New Roman" w:cs="Times New Roman"/>
          <w:sz w:val="24"/>
          <w:szCs w:val="24"/>
          <w:highlight w:val="white"/>
        </w:rPr>
        <w:t xml:space="preserve"> Fu, C. (2024). Mechanism of APC truncation involved in colorectal cancer tumorigenesis. </w:t>
      </w:r>
      <w:r w:rsidR="00802A6C" w:rsidRPr="0070776B">
        <w:rPr>
          <w:rFonts w:ascii="Times New Roman" w:eastAsia="Times New Roman" w:hAnsi="Times New Roman" w:cs="Times New Roman"/>
          <w:i/>
          <w:sz w:val="24"/>
          <w:szCs w:val="24"/>
          <w:highlight w:val="white"/>
        </w:rPr>
        <w:t>Oncology Letters</w:t>
      </w:r>
      <w:r w:rsidR="00802A6C">
        <w:rPr>
          <w:rFonts w:ascii="Times New Roman" w:eastAsia="Times New Roman" w:hAnsi="Times New Roman" w:cs="Times New Roman"/>
          <w:sz w:val="24"/>
          <w:szCs w:val="24"/>
          <w:highlight w:val="white"/>
        </w:rPr>
        <w:t>, 29(1), 2.</w:t>
      </w:r>
    </w:p>
    <w:p w14:paraId="21616353" w14:textId="77777777"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Wikipedia: https://en.wikipedia.org/wiki/Luteolin</w:t>
      </w:r>
    </w:p>
    <w:p w14:paraId="302C3D52" w14:textId="2563B92D" w:rsidR="00802A6C" w:rsidRDefault="0026548E"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Yamamura, R., Ooshio, T.</w:t>
      </w:r>
      <w:r w:rsidR="00802A6C">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sidR="00802A6C">
        <w:rPr>
          <w:rFonts w:ascii="Times New Roman" w:eastAsia="Times New Roman" w:hAnsi="Times New Roman" w:cs="Times New Roman"/>
          <w:sz w:val="24"/>
          <w:szCs w:val="24"/>
          <w:highlight w:val="white"/>
        </w:rPr>
        <w:t xml:space="preserve"> Sonoshita, M. (2021). Tiny Drosophila makes giant strides in cancer research. </w:t>
      </w:r>
      <w:r w:rsidR="00802A6C" w:rsidRPr="0070776B">
        <w:rPr>
          <w:rFonts w:ascii="Times New Roman" w:eastAsia="Times New Roman" w:hAnsi="Times New Roman" w:cs="Times New Roman"/>
          <w:i/>
          <w:sz w:val="24"/>
          <w:szCs w:val="24"/>
          <w:highlight w:val="white"/>
        </w:rPr>
        <w:t>Cancer Science</w:t>
      </w:r>
      <w:r w:rsidR="00802A6C">
        <w:rPr>
          <w:rFonts w:ascii="Times New Roman" w:eastAsia="Times New Roman" w:hAnsi="Times New Roman" w:cs="Times New Roman"/>
          <w:sz w:val="24"/>
          <w:szCs w:val="24"/>
          <w:highlight w:val="white"/>
        </w:rPr>
        <w:t>, 112(2), 505-514.</w:t>
      </w:r>
    </w:p>
    <w:p w14:paraId="2C394849" w14:textId="5AB4E6D8" w:rsidR="00802A6C" w:rsidRDefault="0026548E"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Yang, H., Zhao, Y., Song, W.</w:t>
      </w:r>
      <w:r w:rsidR="00802A6C">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sidR="00802A6C">
        <w:rPr>
          <w:rFonts w:ascii="Times New Roman" w:eastAsia="Times New Roman" w:hAnsi="Times New Roman" w:cs="Times New Roman"/>
          <w:sz w:val="24"/>
          <w:szCs w:val="24"/>
          <w:highlight w:val="white"/>
        </w:rPr>
        <w:t xml:space="preserve"> Fan, G. (2024). The inhibition of β-catenin activity by luteolin isolated from paulownia flowers leads to growth arrest and apoptosis in cholangiocarcinoma. </w:t>
      </w:r>
      <w:r w:rsidR="00802A6C" w:rsidRPr="0026548E">
        <w:rPr>
          <w:rFonts w:ascii="Times New Roman" w:eastAsia="Times New Roman" w:hAnsi="Times New Roman" w:cs="Times New Roman"/>
          <w:i/>
          <w:sz w:val="24"/>
          <w:szCs w:val="24"/>
          <w:highlight w:val="white"/>
        </w:rPr>
        <w:t>International Journal of Biological Macromolecules</w:t>
      </w:r>
      <w:r w:rsidR="00802A6C">
        <w:rPr>
          <w:rFonts w:ascii="Times New Roman" w:eastAsia="Times New Roman" w:hAnsi="Times New Roman" w:cs="Times New Roman"/>
          <w:sz w:val="24"/>
          <w:szCs w:val="24"/>
          <w:highlight w:val="white"/>
        </w:rPr>
        <w:t>, 254, 127627.</w:t>
      </w:r>
    </w:p>
    <w:p w14:paraId="2C96D5AA" w14:textId="10229C95"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Yang, Z., Liu, H., Song, Y., Ga</w:t>
      </w:r>
      <w:r w:rsidR="0026548E">
        <w:rPr>
          <w:rFonts w:ascii="Times New Roman" w:eastAsia="Times New Roman" w:hAnsi="Times New Roman" w:cs="Times New Roman"/>
          <w:sz w:val="24"/>
          <w:szCs w:val="24"/>
          <w:highlight w:val="white"/>
        </w:rPr>
        <w:t>o, N., Gao, P., Hui, Y., Li, Y.</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Fan, T. (2024). Luteolin enhances drug chemosensitivity by downregulating the FAK/PI3K/AKT pathway in paclitaxel-resistant esophageal squamous cell carcinoma. </w:t>
      </w:r>
      <w:r w:rsidRPr="0070776B">
        <w:rPr>
          <w:rFonts w:ascii="Times New Roman" w:eastAsia="Times New Roman" w:hAnsi="Times New Roman" w:cs="Times New Roman"/>
          <w:i/>
          <w:sz w:val="24"/>
          <w:szCs w:val="24"/>
          <w:highlight w:val="white"/>
        </w:rPr>
        <w:t>International Journal of Molecular Medicine</w:t>
      </w:r>
      <w:r>
        <w:rPr>
          <w:rFonts w:ascii="Times New Roman" w:eastAsia="Times New Roman" w:hAnsi="Times New Roman" w:cs="Times New Roman"/>
          <w:sz w:val="24"/>
          <w:szCs w:val="24"/>
          <w:highlight w:val="white"/>
        </w:rPr>
        <w:t xml:space="preserve">, 54. </w:t>
      </w:r>
      <w:r>
        <w:rPr>
          <w:rFonts w:ascii="Times New Roman" w:eastAsia="Times New Roman" w:hAnsi="Times New Roman" w:cs="Times New Roman"/>
          <w:sz w:val="24"/>
          <w:szCs w:val="24"/>
          <w:highlight w:val="white"/>
          <w:u w:val="single"/>
        </w:rPr>
        <w:t>https://doi.org/10.3892/ijmm.2024.5401</w:t>
      </w:r>
      <w:r>
        <w:rPr>
          <w:rFonts w:ascii="Times New Roman" w:eastAsia="Times New Roman" w:hAnsi="Times New Roman" w:cs="Times New Roman"/>
          <w:sz w:val="24"/>
          <w:szCs w:val="24"/>
          <w:highlight w:val="white"/>
        </w:rPr>
        <w:t>.</w:t>
      </w:r>
    </w:p>
    <w:p w14:paraId="318F96A0" w14:textId="4714C969"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Yang, Z., Wang, X.</w:t>
      </w:r>
      <w:r w:rsidR="0026548E">
        <w:rPr>
          <w:rFonts w:ascii="Times New Roman" w:eastAsia="Times New Roman" w:hAnsi="Times New Roman" w:cs="Times New Roman"/>
          <w:sz w:val="24"/>
          <w:szCs w:val="24"/>
          <w:highlight w:val="white"/>
        </w:rPr>
        <w:t>, Zhou, H., Jiang, M., Wang, J.</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Sui, B. (2024). Molecular complexity of colorectal cancer: pathways, biomarkers, and therapeutic strategies. </w:t>
      </w:r>
      <w:r w:rsidRPr="0026548E">
        <w:rPr>
          <w:rFonts w:ascii="Times New Roman" w:eastAsia="Times New Roman" w:hAnsi="Times New Roman" w:cs="Times New Roman"/>
          <w:i/>
          <w:sz w:val="24"/>
          <w:szCs w:val="24"/>
          <w:highlight w:val="white"/>
        </w:rPr>
        <w:t>Cancer Management and Research</w:t>
      </w:r>
      <w:r>
        <w:rPr>
          <w:rFonts w:ascii="Times New Roman" w:eastAsia="Times New Roman" w:hAnsi="Times New Roman" w:cs="Times New Roman"/>
          <w:sz w:val="24"/>
          <w:szCs w:val="24"/>
          <w:highlight w:val="white"/>
        </w:rPr>
        <w:t>, 1389-1403.</w:t>
      </w:r>
    </w:p>
    <w:p w14:paraId="6C9256FB" w14:textId="51A304A2"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Yang, Z., Zhan</w:t>
      </w:r>
      <w:r w:rsidR="0026548E">
        <w:rPr>
          <w:rFonts w:ascii="Times New Roman" w:eastAsia="Times New Roman" w:hAnsi="Times New Roman" w:cs="Times New Roman"/>
          <w:sz w:val="24"/>
          <w:szCs w:val="24"/>
          <w:highlight w:val="white"/>
        </w:rPr>
        <w:t>g, X., Bai, X., Xi, X., Liu, W.</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Zhong, W. (2024). Anti‐angiogenesis in colorectal cancer therapy. </w:t>
      </w:r>
      <w:r w:rsidRPr="0026548E">
        <w:rPr>
          <w:rFonts w:ascii="Times New Roman" w:eastAsia="Times New Roman" w:hAnsi="Times New Roman" w:cs="Times New Roman"/>
          <w:i/>
          <w:sz w:val="24"/>
          <w:szCs w:val="24"/>
          <w:highlight w:val="white"/>
        </w:rPr>
        <w:t>Cancer Science</w:t>
      </w:r>
      <w:r>
        <w:rPr>
          <w:rFonts w:ascii="Times New Roman" w:eastAsia="Times New Roman" w:hAnsi="Times New Roman" w:cs="Times New Roman"/>
          <w:sz w:val="24"/>
          <w:szCs w:val="24"/>
          <w:highlight w:val="white"/>
        </w:rPr>
        <w:t>, 115(3), 734-751.</w:t>
      </w:r>
    </w:p>
    <w:p w14:paraId="451FD9BD" w14:textId="686A6693"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Yuan, Z., Hu,</w:t>
      </w:r>
      <w:r w:rsidR="0026548E">
        <w:rPr>
          <w:rFonts w:ascii="Times New Roman" w:eastAsia="Times New Roman" w:hAnsi="Times New Roman" w:cs="Times New Roman"/>
          <w:sz w:val="24"/>
          <w:szCs w:val="24"/>
          <w:highlight w:val="white"/>
        </w:rPr>
        <w:t xml:space="preserve"> J., Cai, C., Liu, F., Chen, H.</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Zeng, B. (2026). Integrated network pharmacology and experimental verification to reveal the mechanisms of curcumin in the treatment of colorectal cancer. </w:t>
      </w:r>
      <w:r w:rsidRPr="0070776B">
        <w:rPr>
          <w:rFonts w:ascii="Times New Roman" w:eastAsia="Times New Roman" w:hAnsi="Times New Roman" w:cs="Times New Roman"/>
          <w:i/>
          <w:sz w:val="24"/>
          <w:szCs w:val="24"/>
          <w:highlight w:val="white"/>
        </w:rPr>
        <w:t>Frontiers in Pharmacology</w:t>
      </w:r>
      <w:r>
        <w:rPr>
          <w:rFonts w:ascii="Times New Roman" w:eastAsia="Times New Roman" w:hAnsi="Times New Roman" w:cs="Times New Roman"/>
          <w:sz w:val="24"/>
          <w:szCs w:val="24"/>
          <w:highlight w:val="white"/>
        </w:rPr>
        <w:t>, 16, 1703562.</w:t>
      </w:r>
    </w:p>
    <w:p w14:paraId="71F0F98E" w14:textId="4B94BA6E"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Zhu, M., Sun, Y., Su, </w:t>
      </w:r>
      <w:r w:rsidR="0026548E">
        <w:rPr>
          <w:rFonts w:ascii="Times New Roman" w:eastAsia="Times New Roman" w:hAnsi="Times New Roman" w:cs="Times New Roman"/>
          <w:sz w:val="24"/>
          <w:szCs w:val="24"/>
          <w:highlight w:val="white"/>
        </w:rPr>
        <w:t>Y., Guan, W., Wang, Y., Han, J</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Kuang, H. (2024). Luteolin: a promising multifunctional natural flavonoid for human diseases. </w:t>
      </w:r>
      <w:r w:rsidRPr="0070776B">
        <w:rPr>
          <w:rFonts w:ascii="Times New Roman" w:eastAsia="Times New Roman" w:hAnsi="Times New Roman" w:cs="Times New Roman"/>
          <w:i/>
          <w:sz w:val="24"/>
          <w:szCs w:val="24"/>
          <w:highlight w:val="white"/>
        </w:rPr>
        <w:t>Phytotherapy Research</w:t>
      </w:r>
      <w:r>
        <w:rPr>
          <w:rFonts w:ascii="Times New Roman" w:eastAsia="Times New Roman" w:hAnsi="Times New Roman" w:cs="Times New Roman"/>
          <w:sz w:val="24"/>
          <w:szCs w:val="24"/>
          <w:highlight w:val="white"/>
        </w:rPr>
        <w:t>, 38(7), 3417-3443.</w:t>
      </w:r>
    </w:p>
    <w:p w14:paraId="44A2AAE1" w14:textId="4092D408" w:rsidR="00802A6C" w:rsidRDefault="00802A6C" w:rsidP="00802A6C">
      <w:pPr>
        <w:spacing w:before="240" w:after="240" w:line="360" w:lineRule="auto"/>
        <w:ind w:left="567" w:hanging="56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Zoratto, F., Rossi, L., Verrico, M., </w:t>
      </w:r>
      <w:r w:rsidR="0070776B">
        <w:rPr>
          <w:rFonts w:ascii="Times New Roman" w:eastAsia="Times New Roman" w:hAnsi="Times New Roman" w:cs="Times New Roman"/>
          <w:sz w:val="24"/>
          <w:szCs w:val="24"/>
          <w:highlight w:val="white"/>
        </w:rPr>
        <w:t>Papa, A., Basso, E., Zullo, A.</w:t>
      </w:r>
      <w:r>
        <w:rPr>
          <w:rFonts w:ascii="Times New Roman" w:eastAsia="Times New Roman" w:hAnsi="Times New Roman" w:cs="Times New Roman"/>
          <w:sz w:val="24"/>
          <w:szCs w:val="24"/>
          <w:highlight w:val="white"/>
        </w:rPr>
        <w:t xml:space="preserve">.. </w:t>
      </w:r>
      <w:r w:rsidR="00E73F0F">
        <w:rPr>
          <w:rFonts w:ascii="Times New Roman" w:eastAsia="Times New Roman" w:hAnsi="Times New Roman" w:cs="Times New Roman"/>
          <w:sz w:val="24"/>
          <w:szCs w:val="24"/>
          <w:highlight w:val="white"/>
        </w:rPr>
        <w:t>and</w:t>
      </w:r>
      <w:r>
        <w:rPr>
          <w:rFonts w:ascii="Times New Roman" w:eastAsia="Times New Roman" w:hAnsi="Times New Roman" w:cs="Times New Roman"/>
          <w:sz w:val="24"/>
          <w:szCs w:val="24"/>
          <w:highlight w:val="white"/>
        </w:rPr>
        <w:t xml:space="preserve"> Tomao, S. (2014). Focus on genetic and epigenetic events of colorectal cancer pathogenesis: implications for molecular diagnosis. </w:t>
      </w:r>
      <w:r w:rsidRPr="0070776B">
        <w:rPr>
          <w:rFonts w:ascii="Times New Roman" w:eastAsia="Times New Roman" w:hAnsi="Times New Roman" w:cs="Times New Roman"/>
          <w:i/>
          <w:sz w:val="24"/>
          <w:szCs w:val="24"/>
          <w:highlight w:val="white"/>
        </w:rPr>
        <w:t>Tumor Biology</w:t>
      </w:r>
      <w:r>
        <w:rPr>
          <w:rFonts w:ascii="Times New Roman" w:eastAsia="Times New Roman" w:hAnsi="Times New Roman" w:cs="Times New Roman"/>
          <w:sz w:val="24"/>
          <w:szCs w:val="24"/>
          <w:highlight w:val="white"/>
        </w:rPr>
        <w:t>, 35(7), 6195-6206.</w:t>
      </w:r>
    </w:p>
    <w:p w14:paraId="2F8261F7" w14:textId="77777777" w:rsidR="001469C4" w:rsidRDefault="001469C4">
      <w:pPr>
        <w:spacing w:before="240" w:after="240" w:line="360" w:lineRule="auto"/>
        <w:jc w:val="both"/>
        <w:rPr>
          <w:rFonts w:ascii="Arial" w:eastAsia="Arial" w:hAnsi="Arial" w:cs="Arial"/>
          <w:sz w:val="19"/>
          <w:szCs w:val="19"/>
          <w:highlight w:val="white"/>
        </w:rPr>
      </w:pPr>
    </w:p>
    <w:p w14:paraId="37F50D9C" w14:textId="77777777" w:rsidR="001469C4" w:rsidRDefault="001469C4">
      <w:pPr>
        <w:pBdr>
          <w:top w:val="nil"/>
          <w:left w:val="nil"/>
          <w:bottom w:val="nil"/>
          <w:right w:val="nil"/>
          <w:between w:val="nil"/>
        </w:pBdr>
        <w:spacing w:before="280" w:line="480" w:lineRule="auto"/>
        <w:rPr>
          <w:rFonts w:ascii="Times New Roman" w:eastAsia="Times New Roman" w:hAnsi="Times New Roman" w:cs="Times New Roman"/>
          <w:sz w:val="24"/>
          <w:szCs w:val="24"/>
        </w:rPr>
      </w:pPr>
    </w:p>
    <w:sectPr w:rsidR="001469C4" w:rsidSect="006E4455">
      <w:footerReference w:type="default" r:id="rId39"/>
      <w:pgSz w:w="11909" w:h="16834" w:code="9"/>
      <w:pgMar w:top="1440" w:right="1440" w:bottom="1440" w:left="1440" w:header="708" w:footer="708"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8974832" w16cex:dateUtc="2026-07-27T07: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64E89C2" w16cid:durableId="6897483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EA3157" w14:textId="77777777" w:rsidR="00B804F5" w:rsidRDefault="00B804F5">
      <w:pPr>
        <w:spacing w:after="0" w:line="240" w:lineRule="auto"/>
      </w:pPr>
      <w:r>
        <w:separator/>
      </w:r>
    </w:p>
  </w:endnote>
  <w:endnote w:type="continuationSeparator" w:id="0">
    <w:p w14:paraId="359D199A" w14:textId="77777777" w:rsidR="00B804F5" w:rsidRDefault="00B80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embedRegular r:id="rId1" w:fontKey="{B1D11AEB-C360-48CD-8EFA-E6683E15E6F7}"/>
    <w:embedBold r:id="rId2" w:fontKey="{E949902B-0888-4122-96A6-633A4B30F136}"/>
    <w:embedItalic r:id="rId3" w:fontKey="{97B5ED8A-5580-4F5A-9F29-2E8979391153}"/>
  </w:font>
  <w:font w:name="Times New Roman">
    <w:panose1 w:val="02020603050405020304"/>
    <w:charset w:val="00"/>
    <w:family w:val="roman"/>
    <w:pitch w:val="variable"/>
    <w:sig w:usb0="E0002EFF" w:usb1="C000785B" w:usb2="00000009" w:usb3="00000000" w:csb0="000001FF" w:csb1="00000000"/>
  </w:font>
  <w:font w:name="Calibri Light">
    <w:altName w:val="Calibri Light"/>
    <w:panose1 w:val="020F0302020204030204"/>
    <w:charset w:val="00"/>
    <w:family w:val="swiss"/>
    <w:pitch w:val="variable"/>
    <w:sig w:usb0="E4002EFF" w:usb1="C000247B" w:usb2="00000009" w:usb3="00000000" w:csb0="000001FF" w:csb1="00000000"/>
    <w:embedRegular r:id="rId4" w:fontKey="{59B24FFB-7568-4772-8167-BBA328715F8A}"/>
    <w:embedItalic r:id="rId5" w:fontKey="{2859CD1B-2ADA-4419-86CA-ED70B9DC3FB7}"/>
  </w:font>
  <w:font w:name="Georgia">
    <w:panose1 w:val="02040502050405020303"/>
    <w:charset w:val="00"/>
    <w:family w:val="roman"/>
    <w:pitch w:val="variable"/>
    <w:sig w:usb0="00000287" w:usb1="00000000" w:usb2="00000000" w:usb3="00000000" w:csb0="0000009F" w:csb1="00000000"/>
    <w:embedItalic r:id="rId6" w:fontKey="{3BE477AF-F321-40AA-BBD7-B49A6383F8A8}"/>
  </w:font>
  <w:font w:name="Segoe UI">
    <w:panose1 w:val="020B0502040204020203"/>
    <w:charset w:val="00"/>
    <w:family w:val="swiss"/>
    <w:pitch w:val="variable"/>
    <w:sig w:usb0="E4002EFF" w:usb1="C000E47F" w:usb2="00000009" w:usb3="00000000" w:csb0="000001FF" w:csb1="00000000"/>
    <w:embedRegular r:id="rId7" w:fontKey="{0F0B66B1-D01C-4D68-816F-3EF9BE9369D4}"/>
  </w:font>
  <w:font w:name="Arial">
    <w:panose1 w:val="020B0604020202020204"/>
    <w:charset w:val="00"/>
    <w:family w:val="swiss"/>
    <w:pitch w:val="variable"/>
    <w:sig w:usb0="E0002EFF" w:usb1="C000785B" w:usb2="00000009" w:usb3="00000000" w:csb0="000001FF" w:csb1="00000000"/>
  </w:font>
  <w:font w:name="Gungsuh">
    <w:altName w:val="Arial Unicode MS"/>
    <w:charset w:val="81"/>
    <w:family w:val="roman"/>
    <w:pitch w:val="variable"/>
    <w:sig w:usb0="00000000"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1790956"/>
      <w:docPartObj>
        <w:docPartGallery w:val="Page Numbers (Bottom of Page)"/>
        <w:docPartUnique/>
      </w:docPartObj>
    </w:sdtPr>
    <w:sdtEndPr>
      <w:rPr>
        <w:noProof/>
      </w:rPr>
    </w:sdtEndPr>
    <w:sdtContent>
      <w:p w14:paraId="42BA085A" w14:textId="77777777" w:rsidR="006E4455" w:rsidRDefault="006E4455">
        <w:pPr>
          <w:pStyle w:val="Footer"/>
          <w:jc w:val="center"/>
        </w:pPr>
        <w:r>
          <w:fldChar w:fldCharType="begin"/>
        </w:r>
        <w:r>
          <w:instrText xml:space="preserve"> PAGE   \* MERGEFORMAT </w:instrText>
        </w:r>
        <w:r>
          <w:fldChar w:fldCharType="separate"/>
        </w:r>
        <w:r w:rsidR="00B44278">
          <w:rPr>
            <w:noProof/>
          </w:rPr>
          <w:t>xiv</w:t>
        </w:r>
        <w:r>
          <w:rPr>
            <w:noProof/>
          </w:rPr>
          <w:fldChar w:fldCharType="end"/>
        </w:r>
      </w:p>
    </w:sdtContent>
  </w:sdt>
  <w:p w14:paraId="75DF3072" w14:textId="77777777" w:rsidR="006E4455" w:rsidRDefault="006E445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1079156"/>
      <w:docPartObj>
        <w:docPartGallery w:val="Page Numbers (Bottom of Page)"/>
        <w:docPartUnique/>
      </w:docPartObj>
    </w:sdtPr>
    <w:sdtEndPr>
      <w:rPr>
        <w:noProof/>
      </w:rPr>
    </w:sdtEndPr>
    <w:sdtContent>
      <w:p w14:paraId="4CDFD16B" w14:textId="77777777" w:rsidR="006E4455" w:rsidRDefault="006E4455">
        <w:pPr>
          <w:pStyle w:val="Footer"/>
          <w:jc w:val="center"/>
        </w:pPr>
        <w:r>
          <w:fldChar w:fldCharType="begin"/>
        </w:r>
        <w:r>
          <w:instrText xml:space="preserve"> PAGE   \* MERGEFORMAT </w:instrText>
        </w:r>
        <w:r>
          <w:fldChar w:fldCharType="separate"/>
        </w:r>
        <w:r w:rsidR="00EA314B">
          <w:rPr>
            <w:noProof/>
          </w:rPr>
          <w:t>50</w:t>
        </w:r>
        <w:r>
          <w:rPr>
            <w:noProof/>
          </w:rPr>
          <w:fldChar w:fldCharType="end"/>
        </w:r>
      </w:p>
    </w:sdtContent>
  </w:sdt>
  <w:p w14:paraId="4171E00B" w14:textId="77777777" w:rsidR="006E4455" w:rsidRDefault="006E44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210DB5" w14:textId="77777777" w:rsidR="00B804F5" w:rsidRDefault="00B804F5">
      <w:pPr>
        <w:spacing w:after="0" w:line="240" w:lineRule="auto"/>
      </w:pPr>
      <w:r>
        <w:separator/>
      </w:r>
    </w:p>
  </w:footnote>
  <w:footnote w:type="continuationSeparator" w:id="0">
    <w:p w14:paraId="5B501EAE" w14:textId="77777777" w:rsidR="00B804F5" w:rsidRDefault="00B804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00BBE"/>
    <w:multiLevelType w:val="multilevel"/>
    <w:tmpl w:val="5FF471B4"/>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9F409C6"/>
    <w:multiLevelType w:val="multilevel"/>
    <w:tmpl w:val="1E761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9C4"/>
    <w:rsid w:val="00003448"/>
    <w:rsid w:val="00013896"/>
    <w:rsid w:val="0002127C"/>
    <w:rsid w:val="0003734C"/>
    <w:rsid w:val="00040C5B"/>
    <w:rsid w:val="00051208"/>
    <w:rsid w:val="00052AB6"/>
    <w:rsid w:val="0006251A"/>
    <w:rsid w:val="000644BF"/>
    <w:rsid w:val="00071E86"/>
    <w:rsid w:val="000748C9"/>
    <w:rsid w:val="00084C5F"/>
    <w:rsid w:val="000966EF"/>
    <w:rsid w:val="000A0A6F"/>
    <w:rsid w:val="000A2E3B"/>
    <w:rsid w:val="000A3740"/>
    <w:rsid w:val="000C6EA7"/>
    <w:rsid w:val="000D0E25"/>
    <w:rsid w:val="000E3383"/>
    <w:rsid w:val="00102FFB"/>
    <w:rsid w:val="0010485A"/>
    <w:rsid w:val="00107231"/>
    <w:rsid w:val="00112A6E"/>
    <w:rsid w:val="00115B32"/>
    <w:rsid w:val="00120980"/>
    <w:rsid w:val="00132D47"/>
    <w:rsid w:val="001469C4"/>
    <w:rsid w:val="0017105B"/>
    <w:rsid w:val="00175095"/>
    <w:rsid w:val="00176B3C"/>
    <w:rsid w:val="00184800"/>
    <w:rsid w:val="00187FC6"/>
    <w:rsid w:val="001910BD"/>
    <w:rsid w:val="001A6780"/>
    <w:rsid w:val="001A6CDB"/>
    <w:rsid w:val="001D5BBD"/>
    <w:rsid w:val="001D6C4D"/>
    <w:rsid w:val="001F1C3C"/>
    <w:rsid w:val="001F7BC0"/>
    <w:rsid w:val="00201B96"/>
    <w:rsid w:val="00205753"/>
    <w:rsid w:val="00207144"/>
    <w:rsid w:val="00211446"/>
    <w:rsid w:val="00214B67"/>
    <w:rsid w:val="00225E5F"/>
    <w:rsid w:val="0024204F"/>
    <w:rsid w:val="00243A03"/>
    <w:rsid w:val="00252CED"/>
    <w:rsid w:val="0026548E"/>
    <w:rsid w:val="002773CA"/>
    <w:rsid w:val="00285446"/>
    <w:rsid w:val="00294D93"/>
    <w:rsid w:val="00297EEC"/>
    <w:rsid w:val="002B4805"/>
    <w:rsid w:val="002B5515"/>
    <w:rsid w:val="002D1436"/>
    <w:rsid w:val="002D24C8"/>
    <w:rsid w:val="002D3827"/>
    <w:rsid w:val="002E12F9"/>
    <w:rsid w:val="002E7E0E"/>
    <w:rsid w:val="002F1E08"/>
    <w:rsid w:val="002F59A2"/>
    <w:rsid w:val="002F7EBB"/>
    <w:rsid w:val="003444ED"/>
    <w:rsid w:val="00344D2C"/>
    <w:rsid w:val="0036241C"/>
    <w:rsid w:val="00363076"/>
    <w:rsid w:val="003671F4"/>
    <w:rsid w:val="003728D4"/>
    <w:rsid w:val="00374737"/>
    <w:rsid w:val="003803BB"/>
    <w:rsid w:val="003D46B5"/>
    <w:rsid w:val="00424714"/>
    <w:rsid w:val="004276D9"/>
    <w:rsid w:val="00435391"/>
    <w:rsid w:val="0047411D"/>
    <w:rsid w:val="0047412D"/>
    <w:rsid w:val="00486640"/>
    <w:rsid w:val="0048711E"/>
    <w:rsid w:val="0049043A"/>
    <w:rsid w:val="004A0B94"/>
    <w:rsid w:val="004D504B"/>
    <w:rsid w:val="004E11C9"/>
    <w:rsid w:val="004F67FF"/>
    <w:rsid w:val="00501C10"/>
    <w:rsid w:val="00503561"/>
    <w:rsid w:val="005177A2"/>
    <w:rsid w:val="00521432"/>
    <w:rsid w:val="00533313"/>
    <w:rsid w:val="00537B78"/>
    <w:rsid w:val="00557CAE"/>
    <w:rsid w:val="00576AA7"/>
    <w:rsid w:val="00585772"/>
    <w:rsid w:val="005975B9"/>
    <w:rsid w:val="00597878"/>
    <w:rsid w:val="005A019C"/>
    <w:rsid w:val="005A3080"/>
    <w:rsid w:val="005A44DF"/>
    <w:rsid w:val="005C065B"/>
    <w:rsid w:val="005D0F5E"/>
    <w:rsid w:val="005D5565"/>
    <w:rsid w:val="005D6A16"/>
    <w:rsid w:val="005F11C6"/>
    <w:rsid w:val="00600CAF"/>
    <w:rsid w:val="00601C70"/>
    <w:rsid w:val="0060662A"/>
    <w:rsid w:val="006246CA"/>
    <w:rsid w:val="00630434"/>
    <w:rsid w:val="00641380"/>
    <w:rsid w:val="00641A42"/>
    <w:rsid w:val="006516F7"/>
    <w:rsid w:val="006549C2"/>
    <w:rsid w:val="00656C6C"/>
    <w:rsid w:val="0066063A"/>
    <w:rsid w:val="0067203A"/>
    <w:rsid w:val="00673D04"/>
    <w:rsid w:val="00683CBE"/>
    <w:rsid w:val="006963DE"/>
    <w:rsid w:val="006B1797"/>
    <w:rsid w:val="006B5E99"/>
    <w:rsid w:val="006B5EA9"/>
    <w:rsid w:val="006C0204"/>
    <w:rsid w:val="006C0AFC"/>
    <w:rsid w:val="006C11B5"/>
    <w:rsid w:val="006C3F09"/>
    <w:rsid w:val="006E4455"/>
    <w:rsid w:val="0070776B"/>
    <w:rsid w:val="007203C0"/>
    <w:rsid w:val="007276E4"/>
    <w:rsid w:val="00731D89"/>
    <w:rsid w:val="00737E98"/>
    <w:rsid w:val="007469BD"/>
    <w:rsid w:val="00771050"/>
    <w:rsid w:val="0077336A"/>
    <w:rsid w:val="00787342"/>
    <w:rsid w:val="00796AEB"/>
    <w:rsid w:val="007A2431"/>
    <w:rsid w:val="007B7C32"/>
    <w:rsid w:val="007C0796"/>
    <w:rsid w:val="007C52F1"/>
    <w:rsid w:val="007D4C79"/>
    <w:rsid w:val="007E0858"/>
    <w:rsid w:val="007E11DA"/>
    <w:rsid w:val="007E221C"/>
    <w:rsid w:val="007E7DF5"/>
    <w:rsid w:val="007F091D"/>
    <w:rsid w:val="007F1A64"/>
    <w:rsid w:val="007F64A6"/>
    <w:rsid w:val="00800F5D"/>
    <w:rsid w:val="00802A6C"/>
    <w:rsid w:val="008056CD"/>
    <w:rsid w:val="00810A03"/>
    <w:rsid w:val="00817641"/>
    <w:rsid w:val="00827AB1"/>
    <w:rsid w:val="0083064E"/>
    <w:rsid w:val="00832648"/>
    <w:rsid w:val="00842B35"/>
    <w:rsid w:val="00846374"/>
    <w:rsid w:val="0087042B"/>
    <w:rsid w:val="00874704"/>
    <w:rsid w:val="00874AEE"/>
    <w:rsid w:val="008759A3"/>
    <w:rsid w:val="0088148E"/>
    <w:rsid w:val="008A53F4"/>
    <w:rsid w:val="008C67A6"/>
    <w:rsid w:val="008D0464"/>
    <w:rsid w:val="008D6ABD"/>
    <w:rsid w:val="008E1989"/>
    <w:rsid w:val="008E53DA"/>
    <w:rsid w:val="008F4CCB"/>
    <w:rsid w:val="00900CD5"/>
    <w:rsid w:val="00904F69"/>
    <w:rsid w:val="00907DB3"/>
    <w:rsid w:val="00916D07"/>
    <w:rsid w:val="00923E7C"/>
    <w:rsid w:val="00940A17"/>
    <w:rsid w:val="00941B67"/>
    <w:rsid w:val="00945201"/>
    <w:rsid w:val="00947444"/>
    <w:rsid w:val="00951DAB"/>
    <w:rsid w:val="00962A31"/>
    <w:rsid w:val="009848ED"/>
    <w:rsid w:val="00987A8F"/>
    <w:rsid w:val="009973C8"/>
    <w:rsid w:val="009A010A"/>
    <w:rsid w:val="009A3C0F"/>
    <w:rsid w:val="009A3E79"/>
    <w:rsid w:val="009B6D5E"/>
    <w:rsid w:val="009E2420"/>
    <w:rsid w:val="009E6927"/>
    <w:rsid w:val="009E7F3C"/>
    <w:rsid w:val="009F1830"/>
    <w:rsid w:val="009F38B4"/>
    <w:rsid w:val="009F540A"/>
    <w:rsid w:val="00A1324A"/>
    <w:rsid w:val="00A26A7D"/>
    <w:rsid w:val="00A3229A"/>
    <w:rsid w:val="00A3408C"/>
    <w:rsid w:val="00A42472"/>
    <w:rsid w:val="00A46282"/>
    <w:rsid w:val="00A47F73"/>
    <w:rsid w:val="00A866B8"/>
    <w:rsid w:val="00A976D5"/>
    <w:rsid w:val="00AA42BB"/>
    <w:rsid w:val="00AA46C7"/>
    <w:rsid w:val="00AF2BF6"/>
    <w:rsid w:val="00B21E9D"/>
    <w:rsid w:val="00B26741"/>
    <w:rsid w:val="00B44278"/>
    <w:rsid w:val="00B47686"/>
    <w:rsid w:val="00B656FD"/>
    <w:rsid w:val="00B804F5"/>
    <w:rsid w:val="00B84B3F"/>
    <w:rsid w:val="00BC17E5"/>
    <w:rsid w:val="00BC638A"/>
    <w:rsid w:val="00BD07F0"/>
    <w:rsid w:val="00BD74E4"/>
    <w:rsid w:val="00BE4448"/>
    <w:rsid w:val="00BF2886"/>
    <w:rsid w:val="00C243BA"/>
    <w:rsid w:val="00C41672"/>
    <w:rsid w:val="00C46C7F"/>
    <w:rsid w:val="00C57008"/>
    <w:rsid w:val="00C665C4"/>
    <w:rsid w:val="00C76B04"/>
    <w:rsid w:val="00C9484C"/>
    <w:rsid w:val="00CB6EC7"/>
    <w:rsid w:val="00CB74C3"/>
    <w:rsid w:val="00CC1662"/>
    <w:rsid w:val="00CC2F04"/>
    <w:rsid w:val="00CD33ED"/>
    <w:rsid w:val="00CE797C"/>
    <w:rsid w:val="00CF0D02"/>
    <w:rsid w:val="00D06F79"/>
    <w:rsid w:val="00D07B62"/>
    <w:rsid w:val="00D17A31"/>
    <w:rsid w:val="00D26BB6"/>
    <w:rsid w:val="00D31750"/>
    <w:rsid w:val="00D51DE4"/>
    <w:rsid w:val="00D636A2"/>
    <w:rsid w:val="00D66AB9"/>
    <w:rsid w:val="00D750DB"/>
    <w:rsid w:val="00DA4DB2"/>
    <w:rsid w:val="00DA60CE"/>
    <w:rsid w:val="00DC4707"/>
    <w:rsid w:val="00DC649F"/>
    <w:rsid w:val="00E04D74"/>
    <w:rsid w:val="00E16F76"/>
    <w:rsid w:val="00E35DB7"/>
    <w:rsid w:val="00E625EF"/>
    <w:rsid w:val="00E73F0F"/>
    <w:rsid w:val="00E9629A"/>
    <w:rsid w:val="00E9654C"/>
    <w:rsid w:val="00EA314B"/>
    <w:rsid w:val="00EA31C2"/>
    <w:rsid w:val="00EC0F2B"/>
    <w:rsid w:val="00ED3CED"/>
    <w:rsid w:val="00EE2DB9"/>
    <w:rsid w:val="00F024BB"/>
    <w:rsid w:val="00F02AEA"/>
    <w:rsid w:val="00F145BB"/>
    <w:rsid w:val="00F168D6"/>
    <w:rsid w:val="00F1690A"/>
    <w:rsid w:val="00F2343C"/>
    <w:rsid w:val="00F2594A"/>
    <w:rsid w:val="00F26F32"/>
    <w:rsid w:val="00F27779"/>
    <w:rsid w:val="00F40D5B"/>
    <w:rsid w:val="00F53242"/>
    <w:rsid w:val="00F541E2"/>
    <w:rsid w:val="00F54CCA"/>
    <w:rsid w:val="00F62B8F"/>
    <w:rsid w:val="00F71AC5"/>
    <w:rsid w:val="00F76E75"/>
    <w:rsid w:val="00FA78C4"/>
    <w:rsid w:val="00FA7CDA"/>
    <w:rsid w:val="00FB0FBB"/>
    <w:rsid w:val="00FB3692"/>
    <w:rsid w:val="00FD3701"/>
    <w:rsid w:val="00FD4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094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pPr>
      <w:spacing w:line="240" w:lineRule="auto"/>
      <w:outlineLvl w:val="0"/>
    </w:pPr>
    <w:rPr>
      <w:rFonts w:ascii="Times New Roman" w:eastAsia="Times New Roman" w:hAnsi="Times New Roman" w:cs="Times New Roman"/>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link w:val="Heading3Char"/>
    <w:pPr>
      <w:keepNext/>
      <w:keepLines/>
      <w:spacing w:before="40" w:after="0"/>
      <w:outlineLvl w:val="2"/>
    </w:pPr>
    <w:rPr>
      <w:color w:val="1E4D78"/>
      <w:sz w:val="24"/>
      <w:szCs w:val="24"/>
    </w:rPr>
  </w:style>
  <w:style w:type="paragraph" w:styleId="Heading4">
    <w:name w:val="heading 4"/>
    <w:basedOn w:val="Normal"/>
    <w:next w:val="Normal"/>
    <w:link w:val="Heading4Char"/>
    <w:pPr>
      <w:keepNext/>
      <w:keepLines/>
      <w:spacing w:before="40" w:after="0"/>
      <w:outlineLvl w:val="3"/>
    </w:pPr>
    <w:rPr>
      <w:i/>
      <w:iCs/>
      <w:color w:val="2E75B5"/>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rsid w:val="004F67FF"/>
    <w:pPr>
      <w:keepNext/>
      <w:keepLines/>
      <w:spacing w:before="40" w:after="0" w:line="480" w:lineRule="auto"/>
      <w:jc w:val="center"/>
      <w:outlineLvl w:val="6"/>
    </w:pPr>
    <w:rPr>
      <w:rFonts w:ascii="Times New Roman" w:eastAsiaTheme="majorEastAsia" w:hAnsi="Times New Roman" w:cstheme="majorBidi"/>
      <w:b/>
      <w:iCs/>
      <w:color w:val="000000" w:themeColor="text1"/>
      <w:sz w:val="24"/>
    </w:rPr>
  </w:style>
  <w:style w:type="paragraph" w:styleId="Heading8">
    <w:name w:val="heading 8"/>
    <w:basedOn w:val="Normal"/>
    <w:next w:val="Normal"/>
    <w:link w:val="Heading8Char"/>
    <w:uiPriority w:val="9"/>
    <w:unhideWhenUsed/>
    <w:qFormat/>
    <w:rsid w:val="004F67FF"/>
    <w:pPr>
      <w:keepNext/>
      <w:keepLines/>
      <w:spacing w:before="40" w:after="0" w:line="480" w:lineRule="auto"/>
      <w:outlineLvl w:val="7"/>
    </w:pPr>
    <w:rPr>
      <w:rFonts w:ascii="Times New Roman" w:eastAsiaTheme="majorEastAsia" w:hAnsi="Times New Roman" w:cstheme="majorBidi"/>
      <w:b/>
      <w:color w:val="272727" w:themeColor="text1" w:themeTint="D8"/>
      <w:sz w:val="24"/>
      <w:szCs w:val="21"/>
    </w:rPr>
  </w:style>
  <w:style w:type="paragraph" w:styleId="Heading9">
    <w:name w:val="heading 9"/>
    <w:basedOn w:val="Normal"/>
    <w:next w:val="Normal"/>
    <w:link w:val="Heading9Char"/>
    <w:uiPriority w:val="9"/>
    <w:unhideWhenUsed/>
    <w:qFormat/>
    <w:rsid w:val="00DC4707"/>
    <w:pPr>
      <w:keepNext/>
      <w:keepLines/>
      <w:spacing w:before="40" w:after="0"/>
      <w:jc w:val="both"/>
      <w:outlineLvl w:val="8"/>
    </w:pPr>
    <w:rPr>
      <w:rFonts w:ascii="Times New Roman" w:eastAsiaTheme="majorEastAsia" w:hAnsi="Times New Roman" w:cstheme="majorBidi"/>
      <w:b/>
      <w:iCs/>
      <w:color w:val="000000" w:themeColor="text1"/>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character" w:customStyle="1" w:styleId="Heading1Char">
    <w:name w:val="Heading 1 Char"/>
    <w:basedOn w:val="DefaultParagraphFont"/>
    <w:link w:val="Heading1"/>
    <w:uiPriority w:val="9"/>
    <w:rsid w:val="00BD578C"/>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BD578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B5FC7"/>
    <w:pPr>
      <w:spacing w:line="256" w:lineRule="auto"/>
      <w:ind w:left="720"/>
      <w:contextualSpacing/>
    </w:pPr>
  </w:style>
  <w:style w:type="character" w:styleId="Emphasis">
    <w:name w:val="Emphasis"/>
    <w:basedOn w:val="DefaultParagraphFont"/>
    <w:uiPriority w:val="20"/>
    <w:qFormat/>
    <w:rsid w:val="006B5FC7"/>
    <w:rPr>
      <w:i/>
      <w:iCs/>
    </w:rPr>
  </w:style>
  <w:style w:type="character" w:styleId="Strong">
    <w:name w:val="Strong"/>
    <w:basedOn w:val="DefaultParagraphFont"/>
    <w:uiPriority w:val="22"/>
    <w:qFormat/>
    <w:rsid w:val="006B5FC7"/>
    <w:rPr>
      <w:b/>
      <w:bCs/>
    </w:rPr>
  </w:style>
  <w:style w:type="character" w:customStyle="1" w:styleId="Heading4Char">
    <w:name w:val="Heading 4 Char"/>
    <w:basedOn w:val="DefaultParagraphFont"/>
    <w:link w:val="Heading4"/>
    <w:uiPriority w:val="9"/>
    <w:semiHidden/>
    <w:rsid w:val="00761346"/>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E56C33"/>
    <w:rPr>
      <w:rFonts w:asciiTheme="majorHAnsi" w:eastAsiaTheme="majorEastAsia" w:hAnsiTheme="majorHAnsi" w:cstheme="majorBidi"/>
      <w:color w:val="1F4D78" w:themeColor="accent1" w:themeShade="7F"/>
      <w:sz w:val="24"/>
      <w:szCs w:val="24"/>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975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75B9"/>
    <w:rPr>
      <w:rFonts w:ascii="Segoe UI" w:hAnsi="Segoe UI" w:cs="Segoe UI"/>
      <w:sz w:val="18"/>
      <w:szCs w:val="18"/>
    </w:rPr>
  </w:style>
  <w:style w:type="paragraph" w:styleId="Header">
    <w:name w:val="header"/>
    <w:basedOn w:val="Normal"/>
    <w:link w:val="HeaderChar"/>
    <w:uiPriority w:val="99"/>
    <w:unhideWhenUsed/>
    <w:rsid w:val="00810A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A03"/>
  </w:style>
  <w:style w:type="paragraph" w:styleId="Footer">
    <w:name w:val="footer"/>
    <w:basedOn w:val="Normal"/>
    <w:link w:val="FooterChar"/>
    <w:uiPriority w:val="99"/>
    <w:unhideWhenUsed/>
    <w:rsid w:val="00810A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A03"/>
  </w:style>
  <w:style w:type="paragraph" w:customStyle="1" w:styleId="Style1">
    <w:name w:val="Style1"/>
    <w:basedOn w:val="Normal"/>
    <w:link w:val="Style1Char"/>
    <w:qFormat/>
    <w:rsid w:val="00D51DE4"/>
    <w:pPr>
      <w:tabs>
        <w:tab w:val="left" w:pos="3060"/>
        <w:tab w:val="center" w:pos="4680"/>
      </w:tabs>
      <w:spacing w:line="480" w:lineRule="auto"/>
      <w:jc w:val="center"/>
    </w:pPr>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uiPriority w:val="9"/>
    <w:rsid w:val="004F67FF"/>
    <w:rPr>
      <w:rFonts w:ascii="Times New Roman" w:eastAsiaTheme="majorEastAsia" w:hAnsi="Times New Roman" w:cstheme="majorBidi"/>
      <w:b/>
      <w:iCs/>
      <w:color w:val="000000" w:themeColor="text1"/>
      <w:sz w:val="24"/>
    </w:rPr>
  </w:style>
  <w:style w:type="character" w:customStyle="1" w:styleId="Style1Char">
    <w:name w:val="Style1 Char"/>
    <w:basedOn w:val="DefaultParagraphFont"/>
    <w:link w:val="Style1"/>
    <w:rsid w:val="00D51DE4"/>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uiPriority w:val="9"/>
    <w:rsid w:val="004F67FF"/>
    <w:rPr>
      <w:rFonts w:ascii="Times New Roman" w:eastAsiaTheme="majorEastAsia" w:hAnsi="Times New Roman" w:cstheme="majorBidi"/>
      <w:b/>
      <w:color w:val="272727" w:themeColor="text1" w:themeTint="D8"/>
      <w:sz w:val="24"/>
      <w:szCs w:val="21"/>
    </w:rPr>
  </w:style>
  <w:style w:type="paragraph" w:styleId="TOCHeading">
    <w:name w:val="TOC Heading"/>
    <w:basedOn w:val="Heading1"/>
    <w:next w:val="Normal"/>
    <w:uiPriority w:val="39"/>
    <w:unhideWhenUsed/>
    <w:qFormat/>
    <w:rsid w:val="00537B78"/>
    <w:pPr>
      <w:keepNext/>
      <w:keepLines/>
      <w:spacing w:before="240" w:after="0" w:line="259" w:lineRule="auto"/>
      <w:outlineLvl w:val="9"/>
    </w:pPr>
    <w:rPr>
      <w:rFonts w:asciiTheme="majorHAnsi" w:eastAsiaTheme="majorEastAsia" w:hAnsiTheme="majorHAnsi" w:cstheme="majorBidi"/>
      <w:b w:val="0"/>
      <w:bCs w:val="0"/>
      <w:color w:val="2E74B5" w:themeColor="accent1" w:themeShade="BF"/>
      <w:sz w:val="32"/>
      <w:szCs w:val="32"/>
      <w:lang w:val="en-US"/>
    </w:rPr>
  </w:style>
  <w:style w:type="paragraph" w:styleId="TOC3">
    <w:name w:val="toc 3"/>
    <w:basedOn w:val="Normal"/>
    <w:next w:val="Normal"/>
    <w:autoRedefine/>
    <w:uiPriority w:val="39"/>
    <w:unhideWhenUsed/>
    <w:rsid w:val="00537B78"/>
    <w:pPr>
      <w:spacing w:after="100"/>
      <w:ind w:left="440"/>
    </w:pPr>
  </w:style>
  <w:style w:type="character" w:styleId="Hyperlink">
    <w:name w:val="Hyperlink"/>
    <w:basedOn w:val="DefaultParagraphFont"/>
    <w:uiPriority w:val="99"/>
    <w:unhideWhenUsed/>
    <w:rsid w:val="00537B78"/>
    <w:rPr>
      <w:color w:val="0563C1" w:themeColor="hyperlink"/>
      <w:u w:val="single"/>
    </w:rPr>
  </w:style>
  <w:style w:type="character" w:customStyle="1" w:styleId="Heading9Char">
    <w:name w:val="Heading 9 Char"/>
    <w:basedOn w:val="DefaultParagraphFont"/>
    <w:link w:val="Heading9"/>
    <w:uiPriority w:val="9"/>
    <w:rsid w:val="00DC4707"/>
    <w:rPr>
      <w:rFonts w:ascii="Times New Roman" w:eastAsiaTheme="majorEastAsia" w:hAnsi="Times New Roman" w:cstheme="majorBidi"/>
      <w:b/>
      <w:iCs/>
      <w:color w:val="000000" w:themeColor="text1"/>
      <w:sz w:val="24"/>
      <w:szCs w:val="21"/>
    </w:rPr>
  </w:style>
  <w:style w:type="table" w:styleId="TableGrid">
    <w:name w:val="Table Grid"/>
    <w:basedOn w:val="TableNormal"/>
    <w:uiPriority w:val="39"/>
    <w:rsid w:val="00C948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8148E"/>
    <w:rPr>
      <w:sz w:val="16"/>
      <w:szCs w:val="16"/>
    </w:rPr>
  </w:style>
  <w:style w:type="paragraph" w:styleId="CommentText">
    <w:name w:val="annotation text"/>
    <w:basedOn w:val="Normal"/>
    <w:link w:val="CommentTextChar"/>
    <w:uiPriority w:val="99"/>
    <w:semiHidden/>
    <w:unhideWhenUsed/>
    <w:rsid w:val="0088148E"/>
    <w:pPr>
      <w:spacing w:line="240" w:lineRule="auto"/>
    </w:pPr>
    <w:rPr>
      <w:sz w:val="20"/>
      <w:szCs w:val="20"/>
    </w:rPr>
  </w:style>
  <w:style w:type="character" w:customStyle="1" w:styleId="CommentTextChar">
    <w:name w:val="Comment Text Char"/>
    <w:basedOn w:val="DefaultParagraphFont"/>
    <w:link w:val="CommentText"/>
    <w:uiPriority w:val="99"/>
    <w:semiHidden/>
    <w:rsid w:val="0088148E"/>
    <w:rPr>
      <w:sz w:val="20"/>
      <w:szCs w:val="20"/>
    </w:rPr>
  </w:style>
  <w:style w:type="paragraph" w:styleId="CommentSubject">
    <w:name w:val="annotation subject"/>
    <w:basedOn w:val="CommentText"/>
    <w:next w:val="CommentText"/>
    <w:link w:val="CommentSubjectChar"/>
    <w:uiPriority w:val="99"/>
    <w:semiHidden/>
    <w:unhideWhenUsed/>
    <w:rsid w:val="00C76B04"/>
    <w:rPr>
      <w:b/>
      <w:bCs/>
    </w:rPr>
  </w:style>
  <w:style w:type="character" w:customStyle="1" w:styleId="CommentSubjectChar">
    <w:name w:val="Comment Subject Char"/>
    <w:basedOn w:val="CommentTextChar"/>
    <w:link w:val="CommentSubject"/>
    <w:uiPriority w:val="99"/>
    <w:semiHidden/>
    <w:rsid w:val="00C76B04"/>
    <w:rPr>
      <w:b/>
      <w:bCs/>
      <w:sz w:val="20"/>
      <w:szCs w:val="20"/>
    </w:rPr>
  </w:style>
  <w:style w:type="character" w:customStyle="1" w:styleId="cursor-pointer">
    <w:name w:val="cursor-pointer"/>
    <w:basedOn w:val="DefaultParagraphFont"/>
    <w:rsid w:val="00225E5F"/>
  </w:style>
  <w:style w:type="paragraph" w:customStyle="1" w:styleId="pdq2pgselectionanchorcontainer">
    <w:name w:val="pdq2pg_selectionanchorcontainer"/>
    <w:basedOn w:val="Normal"/>
    <w:rsid w:val="004D504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pPr>
      <w:spacing w:line="240" w:lineRule="auto"/>
      <w:outlineLvl w:val="0"/>
    </w:pPr>
    <w:rPr>
      <w:rFonts w:ascii="Times New Roman" w:eastAsia="Times New Roman" w:hAnsi="Times New Roman" w:cs="Times New Roman"/>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link w:val="Heading3Char"/>
    <w:pPr>
      <w:keepNext/>
      <w:keepLines/>
      <w:spacing w:before="40" w:after="0"/>
      <w:outlineLvl w:val="2"/>
    </w:pPr>
    <w:rPr>
      <w:color w:val="1E4D78"/>
      <w:sz w:val="24"/>
      <w:szCs w:val="24"/>
    </w:rPr>
  </w:style>
  <w:style w:type="paragraph" w:styleId="Heading4">
    <w:name w:val="heading 4"/>
    <w:basedOn w:val="Normal"/>
    <w:next w:val="Normal"/>
    <w:link w:val="Heading4Char"/>
    <w:pPr>
      <w:keepNext/>
      <w:keepLines/>
      <w:spacing w:before="40" w:after="0"/>
      <w:outlineLvl w:val="3"/>
    </w:pPr>
    <w:rPr>
      <w:i/>
      <w:iCs/>
      <w:color w:val="2E75B5"/>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rsid w:val="004F67FF"/>
    <w:pPr>
      <w:keepNext/>
      <w:keepLines/>
      <w:spacing w:before="40" w:after="0" w:line="480" w:lineRule="auto"/>
      <w:jc w:val="center"/>
      <w:outlineLvl w:val="6"/>
    </w:pPr>
    <w:rPr>
      <w:rFonts w:ascii="Times New Roman" w:eastAsiaTheme="majorEastAsia" w:hAnsi="Times New Roman" w:cstheme="majorBidi"/>
      <w:b/>
      <w:iCs/>
      <w:color w:val="000000" w:themeColor="text1"/>
      <w:sz w:val="24"/>
    </w:rPr>
  </w:style>
  <w:style w:type="paragraph" w:styleId="Heading8">
    <w:name w:val="heading 8"/>
    <w:basedOn w:val="Normal"/>
    <w:next w:val="Normal"/>
    <w:link w:val="Heading8Char"/>
    <w:uiPriority w:val="9"/>
    <w:unhideWhenUsed/>
    <w:qFormat/>
    <w:rsid w:val="004F67FF"/>
    <w:pPr>
      <w:keepNext/>
      <w:keepLines/>
      <w:spacing w:before="40" w:after="0" w:line="480" w:lineRule="auto"/>
      <w:outlineLvl w:val="7"/>
    </w:pPr>
    <w:rPr>
      <w:rFonts w:ascii="Times New Roman" w:eastAsiaTheme="majorEastAsia" w:hAnsi="Times New Roman" w:cstheme="majorBidi"/>
      <w:b/>
      <w:color w:val="272727" w:themeColor="text1" w:themeTint="D8"/>
      <w:sz w:val="24"/>
      <w:szCs w:val="21"/>
    </w:rPr>
  </w:style>
  <w:style w:type="paragraph" w:styleId="Heading9">
    <w:name w:val="heading 9"/>
    <w:basedOn w:val="Normal"/>
    <w:next w:val="Normal"/>
    <w:link w:val="Heading9Char"/>
    <w:uiPriority w:val="9"/>
    <w:unhideWhenUsed/>
    <w:qFormat/>
    <w:rsid w:val="00DC4707"/>
    <w:pPr>
      <w:keepNext/>
      <w:keepLines/>
      <w:spacing w:before="40" w:after="0"/>
      <w:jc w:val="both"/>
      <w:outlineLvl w:val="8"/>
    </w:pPr>
    <w:rPr>
      <w:rFonts w:ascii="Times New Roman" w:eastAsiaTheme="majorEastAsia" w:hAnsi="Times New Roman" w:cstheme="majorBidi"/>
      <w:b/>
      <w:iCs/>
      <w:color w:val="000000" w:themeColor="text1"/>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character" w:customStyle="1" w:styleId="Heading1Char">
    <w:name w:val="Heading 1 Char"/>
    <w:basedOn w:val="DefaultParagraphFont"/>
    <w:link w:val="Heading1"/>
    <w:uiPriority w:val="9"/>
    <w:rsid w:val="00BD578C"/>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BD578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B5FC7"/>
    <w:pPr>
      <w:spacing w:line="256" w:lineRule="auto"/>
      <w:ind w:left="720"/>
      <w:contextualSpacing/>
    </w:pPr>
  </w:style>
  <w:style w:type="character" w:styleId="Emphasis">
    <w:name w:val="Emphasis"/>
    <w:basedOn w:val="DefaultParagraphFont"/>
    <w:uiPriority w:val="20"/>
    <w:qFormat/>
    <w:rsid w:val="006B5FC7"/>
    <w:rPr>
      <w:i/>
      <w:iCs/>
    </w:rPr>
  </w:style>
  <w:style w:type="character" w:styleId="Strong">
    <w:name w:val="Strong"/>
    <w:basedOn w:val="DefaultParagraphFont"/>
    <w:uiPriority w:val="22"/>
    <w:qFormat/>
    <w:rsid w:val="006B5FC7"/>
    <w:rPr>
      <w:b/>
      <w:bCs/>
    </w:rPr>
  </w:style>
  <w:style w:type="character" w:customStyle="1" w:styleId="Heading4Char">
    <w:name w:val="Heading 4 Char"/>
    <w:basedOn w:val="DefaultParagraphFont"/>
    <w:link w:val="Heading4"/>
    <w:uiPriority w:val="9"/>
    <w:semiHidden/>
    <w:rsid w:val="00761346"/>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E56C33"/>
    <w:rPr>
      <w:rFonts w:asciiTheme="majorHAnsi" w:eastAsiaTheme="majorEastAsia" w:hAnsiTheme="majorHAnsi" w:cstheme="majorBidi"/>
      <w:color w:val="1F4D78" w:themeColor="accent1" w:themeShade="7F"/>
      <w:sz w:val="24"/>
      <w:szCs w:val="24"/>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975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75B9"/>
    <w:rPr>
      <w:rFonts w:ascii="Segoe UI" w:hAnsi="Segoe UI" w:cs="Segoe UI"/>
      <w:sz w:val="18"/>
      <w:szCs w:val="18"/>
    </w:rPr>
  </w:style>
  <w:style w:type="paragraph" w:styleId="Header">
    <w:name w:val="header"/>
    <w:basedOn w:val="Normal"/>
    <w:link w:val="HeaderChar"/>
    <w:uiPriority w:val="99"/>
    <w:unhideWhenUsed/>
    <w:rsid w:val="00810A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A03"/>
  </w:style>
  <w:style w:type="paragraph" w:styleId="Footer">
    <w:name w:val="footer"/>
    <w:basedOn w:val="Normal"/>
    <w:link w:val="FooterChar"/>
    <w:uiPriority w:val="99"/>
    <w:unhideWhenUsed/>
    <w:rsid w:val="00810A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A03"/>
  </w:style>
  <w:style w:type="paragraph" w:customStyle="1" w:styleId="Style1">
    <w:name w:val="Style1"/>
    <w:basedOn w:val="Normal"/>
    <w:link w:val="Style1Char"/>
    <w:qFormat/>
    <w:rsid w:val="00D51DE4"/>
    <w:pPr>
      <w:tabs>
        <w:tab w:val="left" w:pos="3060"/>
        <w:tab w:val="center" w:pos="4680"/>
      </w:tabs>
      <w:spacing w:line="480" w:lineRule="auto"/>
      <w:jc w:val="center"/>
    </w:pPr>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uiPriority w:val="9"/>
    <w:rsid w:val="004F67FF"/>
    <w:rPr>
      <w:rFonts w:ascii="Times New Roman" w:eastAsiaTheme="majorEastAsia" w:hAnsi="Times New Roman" w:cstheme="majorBidi"/>
      <w:b/>
      <w:iCs/>
      <w:color w:val="000000" w:themeColor="text1"/>
      <w:sz w:val="24"/>
    </w:rPr>
  </w:style>
  <w:style w:type="character" w:customStyle="1" w:styleId="Style1Char">
    <w:name w:val="Style1 Char"/>
    <w:basedOn w:val="DefaultParagraphFont"/>
    <w:link w:val="Style1"/>
    <w:rsid w:val="00D51DE4"/>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uiPriority w:val="9"/>
    <w:rsid w:val="004F67FF"/>
    <w:rPr>
      <w:rFonts w:ascii="Times New Roman" w:eastAsiaTheme="majorEastAsia" w:hAnsi="Times New Roman" w:cstheme="majorBidi"/>
      <w:b/>
      <w:color w:val="272727" w:themeColor="text1" w:themeTint="D8"/>
      <w:sz w:val="24"/>
      <w:szCs w:val="21"/>
    </w:rPr>
  </w:style>
  <w:style w:type="paragraph" w:styleId="TOCHeading">
    <w:name w:val="TOC Heading"/>
    <w:basedOn w:val="Heading1"/>
    <w:next w:val="Normal"/>
    <w:uiPriority w:val="39"/>
    <w:unhideWhenUsed/>
    <w:qFormat/>
    <w:rsid w:val="00537B78"/>
    <w:pPr>
      <w:keepNext/>
      <w:keepLines/>
      <w:spacing w:before="240" w:after="0" w:line="259" w:lineRule="auto"/>
      <w:outlineLvl w:val="9"/>
    </w:pPr>
    <w:rPr>
      <w:rFonts w:asciiTheme="majorHAnsi" w:eastAsiaTheme="majorEastAsia" w:hAnsiTheme="majorHAnsi" w:cstheme="majorBidi"/>
      <w:b w:val="0"/>
      <w:bCs w:val="0"/>
      <w:color w:val="2E74B5" w:themeColor="accent1" w:themeShade="BF"/>
      <w:sz w:val="32"/>
      <w:szCs w:val="32"/>
      <w:lang w:val="en-US"/>
    </w:rPr>
  </w:style>
  <w:style w:type="paragraph" w:styleId="TOC3">
    <w:name w:val="toc 3"/>
    <w:basedOn w:val="Normal"/>
    <w:next w:val="Normal"/>
    <w:autoRedefine/>
    <w:uiPriority w:val="39"/>
    <w:unhideWhenUsed/>
    <w:rsid w:val="00537B78"/>
    <w:pPr>
      <w:spacing w:after="100"/>
      <w:ind w:left="440"/>
    </w:pPr>
  </w:style>
  <w:style w:type="character" w:styleId="Hyperlink">
    <w:name w:val="Hyperlink"/>
    <w:basedOn w:val="DefaultParagraphFont"/>
    <w:uiPriority w:val="99"/>
    <w:unhideWhenUsed/>
    <w:rsid w:val="00537B78"/>
    <w:rPr>
      <w:color w:val="0563C1" w:themeColor="hyperlink"/>
      <w:u w:val="single"/>
    </w:rPr>
  </w:style>
  <w:style w:type="character" w:customStyle="1" w:styleId="Heading9Char">
    <w:name w:val="Heading 9 Char"/>
    <w:basedOn w:val="DefaultParagraphFont"/>
    <w:link w:val="Heading9"/>
    <w:uiPriority w:val="9"/>
    <w:rsid w:val="00DC4707"/>
    <w:rPr>
      <w:rFonts w:ascii="Times New Roman" w:eastAsiaTheme="majorEastAsia" w:hAnsi="Times New Roman" w:cstheme="majorBidi"/>
      <w:b/>
      <w:iCs/>
      <w:color w:val="000000" w:themeColor="text1"/>
      <w:sz w:val="24"/>
      <w:szCs w:val="21"/>
    </w:rPr>
  </w:style>
  <w:style w:type="table" w:styleId="TableGrid">
    <w:name w:val="Table Grid"/>
    <w:basedOn w:val="TableNormal"/>
    <w:uiPriority w:val="39"/>
    <w:rsid w:val="00C948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8148E"/>
    <w:rPr>
      <w:sz w:val="16"/>
      <w:szCs w:val="16"/>
    </w:rPr>
  </w:style>
  <w:style w:type="paragraph" w:styleId="CommentText">
    <w:name w:val="annotation text"/>
    <w:basedOn w:val="Normal"/>
    <w:link w:val="CommentTextChar"/>
    <w:uiPriority w:val="99"/>
    <w:semiHidden/>
    <w:unhideWhenUsed/>
    <w:rsid w:val="0088148E"/>
    <w:pPr>
      <w:spacing w:line="240" w:lineRule="auto"/>
    </w:pPr>
    <w:rPr>
      <w:sz w:val="20"/>
      <w:szCs w:val="20"/>
    </w:rPr>
  </w:style>
  <w:style w:type="character" w:customStyle="1" w:styleId="CommentTextChar">
    <w:name w:val="Comment Text Char"/>
    <w:basedOn w:val="DefaultParagraphFont"/>
    <w:link w:val="CommentText"/>
    <w:uiPriority w:val="99"/>
    <w:semiHidden/>
    <w:rsid w:val="0088148E"/>
    <w:rPr>
      <w:sz w:val="20"/>
      <w:szCs w:val="20"/>
    </w:rPr>
  </w:style>
  <w:style w:type="paragraph" w:styleId="CommentSubject">
    <w:name w:val="annotation subject"/>
    <w:basedOn w:val="CommentText"/>
    <w:next w:val="CommentText"/>
    <w:link w:val="CommentSubjectChar"/>
    <w:uiPriority w:val="99"/>
    <w:semiHidden/>
    <w:unhideWhenUsed/>
    <w:rsid w:val="00C76B04"/>
    <w:rPr>
      <w:b/>
      <w:bCs/>
    </w:rPr>
  </w:style>
  <w:style w:type="character" w:customStyle="1" w:styleId="CommentSubjectChar">
    <w:name w:val="Comment Subject Char"/>
    <w:basedOn w:val="CommentTextChar"/>
    <w:link w:val="CommentSubject"/>
    <w:uiPriority w:val="99"/>
    <w:semiHidden/>
    <w:rsid w:val="00C76B04"/>
    <w:rPr>
      <w:b/>
      <w:bCs/>
      <w:sz w:val="20"/>
      <w:szCs w:val="20"/>
    </w:rPr>
  </w:style>
  <w:style w:type="character" w:customStyle="1" w:styleId="cursor-pointer">
    <w:name w:val="cursor-pointer"/>
    <w:basedOn w:val="DefaultParagraphFont"/>
    <w:rsid w:val="00225E5F"/>
  </w:style>
  <w:style w:type="paragraph" w:customStyle="1" w:styleId="pdq2pgselectionanchorcontainer">
    <w:name w:val="pdq2pg_selectionanchorcontainer"/>
    <w:basedOn w:val="Normal"/>
    <w:rsid w:val="004D504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802573">
      <w:bodyDiv w:val="1"/>
      <w:marLeft w:val="0"/>
      <w:marRight w:val="0"/>
      <w:marTop w:val="0"/>
      <w:marBottom w:val="0"/>
      <w:divBdr>
        <w:top w:val="none" w:sz="0" w:space="0" w:color="auto"/>
        <w:left w:val="none" w:sz="0" w:space="0" w:color="auto"/>
        <w:bottom w:val="none" w:sz="0" w:space="0" w:color="auto"/>
        <w:right w:val="none" w:sz="0" w:space="0" w:color="auto"/>
      </w:divBdr>
    </w:div>
    <w:div w:id="359282790">
      <w:bodyDiv w:val="1"/>
      <w:marLeft w:val="0"/>
      <w:marRight w:val="0"/>
      <w:marTop w:val="0"/>
      <w:marBottom w:val="0"/>
      <w:divBdr>
        <w:top w:val="none" w:sz="0" w:space="0" w:color="auto"/>
        <w:left w:val="none" w:sz="0" w:space="0" w:color="auto"/>
        <w:bottom w:val="none" w:sz="0" w:space="0" w:color="auto"/>
        <w:right w:val="none" w:sz="0" w:space="0" w:color="auto"/>
      </w:divBdr>
    </w:div>
    <w:div w:id="598414291">
      <w:bodyDiv w:val="1"/>
      <w:marLeft w:val="0"/>
      <w:marRight w:val="0"/>
      <w:marTop w:val="0"/>
      <w:marBottom w:val="0"/>
      <w:divBdr>
        <w:top w:val="none" w:sz="0" w:space="0" w:color="auto"/>
        <w:left w:val="none" w:sz="0" w:space="0" w:color="auto"/>
        <w:bottom w:val="none" w:sz="0" w:space="0" w:color="auto"/>
        <w:right w:val="none" w:sz="0" w:space="0" w:color="auto"/>
      </w:divBdr>
    </w:div>
    <w:div w:id="1002899625">
      <w:bodyDiv w:val="1"/>
      <w:marLeft w:val="0"/>
      <w:marRight w:val="0"/>
      <w:marTop w:val="0"/>
      <w:marBottom w:val="0"/>
      <w:divBdr>
        <w:top w:val="none" w:sz="0" w:space="0" w:color="auto"/>
        <w:left w:val="none" w:sz="0" w:space="0" w:color="auto"/>
        <w:bottom w:val="none" w:sz="0" w:space="0" w:color="auto"/>
        <w:right w:val="none" w:sz="0" w:space="0" w:color="auto"/>
      </w:divBdr>
    </w:div>
    <w:div w:id="1042949358">
      <w:bodyDiv w:val="1"/>
      <w:marLeft w:val="0"/>
      <w:marRight w:val="0"/>
      <w:marTop w:val="0"/>
      <w:marBottom w:val="0"/>
      <w:divBdr>
        <w:top w:val="none" w:sz="0" w:space="0" w:color="auto"/>
        <w:left w:val="none" w:sz="0" w:space="0" w:color="auto"/>
        <w:bottom w:val="none" w:sz="0" w:space="0" w:color="auto"/>
        <w:right w:val="none" w:sz="0" w:space="0" w:color="auto"/>
      </w:divBdr>
    </w:div>
    <w:div w:id="1053389475">
      <w:bodyDiv w:val="1"/>
      <w:marLeft w:val="0"/>
      <w:marRight w:val="0"/>
      <w:marTop w:val="0"/>
      <w:marBottom w:val="0"/>
      <w:divBdr>
        <w:top w:val="none" w:sz="0" w:space="0" w:color="auto"/>
        <w:left w:val="none" w:sz="0" w:space="0" w:color="auto"/>
        <w:bottom w:val="none" w:sz="0" w:space="0" w:color="auto"/>
        <w:right w:val="none" w:sz="0" w:space="0" w:color="auto"/>
      </w:divBdr>
      <w:divsChild>
        <w:div w:id="541404752">
          <w:marLeft w:val="0"/>
          <w:marRight w:val="0"/>
          <w:marTop w:val="0"/>
          <w:marBottom w:val="0"/>
          <w:divBdr>
            <w:top w:val="none" w:sz="0" w:space="0" w:color="auto"/>
            <w:left w:val="none" w:sz="0" w:space="0" w:color="auto"/>
            <w:bottom w:val="none" w:sz="0" w:space="0" w:color="auto"/>
            <w:right w:val="none" w:sz="0" w:space="0" w:color="auto"/>
          </w:divBdr>
          <w:divsChild>
            <w:div w:id="136309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708402">
      <w:bodyDiv w:val="1"/>
      <w:marLeft w:val="0"/>
      <w:marRight w:val="0"/>
      <w:marTop w:val="0"/>
      <w:marBottom w:val="0"/>
      <w:divBdr>
        <w:top w:val="none" w:sz="0" w:space="0" w:color="auto"/>
        <w:left w:val="none" w:sz="0" w:space="0" w:color="auto"/>
        <w:bottom w:val="none" w:sz="0" w:space="0" w:color="auto"/>
        <w:right w:val="none" w:sz="0" w:space="0" w:color="auto"/>
      </w:divBdr>
    </w:div>
    <w:div w:id="1404639619">
      <w:bodyDiv w:val="1"/>
      <w:marLeft w:val="0"/>
      <w:marRight w:val="0"/>
      <w:marTop w:val="0"/>
      <w:marBottom w:val="0"/>
      <w:divBdr>
        <w:top w:val="none" w:sz="0" w:space="0" w:color="auto"/>
        <w:left w:val="none" w:sz="0" w:space="0" w:color="auto"/>
        <w:bottom w:val="none" w:sz="0" w:space="0" w:color="auto"/>
        <w:right w:val="none" w:sz="0" w:space="0" w:color="auto"/>
      </w:divBdr>
    </w:div>
    <w:div w:id="1784684550">
      <w:bodyDiv w:val="1"/>
      <w:marLeft w:val="0"/>
      <w:marRight w:val="0"/>
      <w:marTop w:val="0"/>
      <w:marBottom w:val="0"/>
      <w:divBdr>
        <w:top w:val="none" w:sz="0" w:space="0" w:color="auto"/>
        <w:left w:val="none" w:sz="0" w:space="0" w:color="auto"/>
        <w:bottom w:val="none" w:sz="0" w:space="0" w:color="auto"/>
        <w:right w:val="none" w:sz="0" w:space="0" w:color="auto"/>
      </w:divBdr>
      <w:divsChild>
        <w:div w:id="17588670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image" Target="media/image11.png"/><Relationship Id="rId34" Type="http://schemas.openxmlformats.org/officeDocument/2006/relationships/image" Target="media/image24.png"/><Relationship Id="rId42" Type="http://schemas.microsoft.com/office/2016/09/relationships/commentsIds" Target="commentsIds.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microsoft.com/office/2018/08/relationships/commentsExtensible" Target="commentsExtensi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AlfgmnS/Ynq4JaY+8lKADTVYIQ==">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9EC752B-60AC-47E3-8F63-72DA412F8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95</Pages>
  <Words>16186</Words>
  <Characters>92264</Characters>
  <Application>Microsoft Office Word</Application>
  <DocSecurity>0</DocSecurity>
  <Lines>768</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Joshua Arobake</cp:lastModifiedBy>
  <cp:revision>2</cp:revision>
  <cp:lastPrinted>2026-09-10T09:14:00Z</cp:lastPrinted>
  <dcterms:created xsi:type="dcterms:W3CDTF">2026-09-10T09:30:00Z</dcterms:created>
  <dcterms:modified xsi:type="dcterms:W3CDTF">2026-09-10T09:30:00Z</dcterms:modified>
</cp:coreProperties>
</file>